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F550A2" w:rsidRDefault="002309B0">
      <w:pPr>
        <w:pStyle w:val="Titre2"/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File S1 Supplementary methods</w:t>
      </w:r>
    </w:p>
    <w:p w14:paraId="00000002" w14:textId="77777777" w:rsidR="00F550A2" w:rsidRDefault="00F550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250h8mwcyb1u" w:colFirst="0" w:colLast="0"/>
      <w:bookmarkEnd w:id="1"/>
    </w:p>
    <w:p w14:paraId="00000003" w14:textId="77777777" w:rsidR="00F550A2" w:rsidRDefault="002309B0">
      <w:pPr>
        <w:pStyle w:val="Titre3"/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bookmarkStart w:id="2" w:name="_heading=h.n44spplhl9ax" w:colFirst="0" w:colLast="0"/>
      <w:bookmarkEnd w:id="2"/>
      <w:r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  <w:t xml:space="preserve">Experimental design, plant material, pathogen inoculation, and disease assessment employed in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  <w:t>Ribo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  <w:t xml:space="preserve">-seq. </w:t>
      </w:r>
    </w:p>
    <w:p w14:paraId="00000004" w14:textId="77777777" w:rsidR="00F550A2" w:rsidRDefault="00F550A2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05" w14:textId="77777777" w:rsidR="00F550A2" w:rsidRDefault="002309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9i1wjdmuf7wq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The genotypes Tenor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Yudal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napus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along with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isolate of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brassicae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(pathotype P1) were used in this study (Daval et al., 2019).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napus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seeds were sown in pots containing 400 g of soil and incubated in a climatic chamber. For each condition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Yudal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Tenor inoculated with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brassicae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three replicates of 12 plants we</w:t>
      </w:r>
      <w:r>
        <w:rPr>
          <w:rFonts w:ascii="Times New Roman" w:eastAsia="Times New Roman" w:hAnsi="Times New Roman" w:cs="Times New Roman"/>
          <w:sz w:val="24"/>
          <w:szCs w:val="24"/>
        </w:rPr>
        <w:t>re prepared. The plants were inoculated with a resting spore suspension of the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brassicae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isolate. The inoculum was prepared by collecting clubs from the universal susceptible host Chinese cabbage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ssp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pekinensis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cv.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Granaat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blended with ster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ile water, and filtered through layers of cheesecloth. Resting spores were further filtered through 500, 100, and 55 µM sieves to remove plant cell debris. Spore concentration was determined using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Malassez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cell and adjusted to 1 × 10⁷ spores ml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Times New Roman" w:hAnsi="Times New Roman" w:cs="Times New Roman"/>
          <w:sz w:val="24"/>
          <w:szCs w:val="24"/>
        </w:rPr>
        <w:t>. Ten-da</w:t>
      </w:r>
      <w:r>
        <w:rPr>
          <w:rFonts w:ascii="Times New Roman" w:eastAsia="Times New Roman" w:hAnsi="Times New Roman" w:cs="Times New Roman"/>
          <w:sz w:val="24"/>
          <w:szCs w:val="24"/>
        </w:rPr>
        <w:t>y-old seedlings were inoculated by applying 1 ml of the spore suspension (1 × 10⁷ spores ml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Times New Roman" w:hAnsi="Times New Roman" w:cs="Times New Roman"/>
          <w:sz w:val="24"/>
          <w:szCs w:val="24"/>
        </w:rPr>
        <w:t>) to the base of each stem. Plants were maintained at 22°C during the day and 19°C at night, under a 16-hour photoperiod. They were watered periodically with Hoagl</w:t>
      </w:r>
      <w:r>
        <w:rPr>
          <w:rFonts w:ascii="Times New Roman" w:eastAsia="Times New Roman" w:hAnsi="Times New Roman" w:cs="Times New Roman"/>
          <w:sz w:val="24"/>
          <w:szCs w:val="24"/>
        </w:rPr>
        <w:t>and nutritive solution to ensure nutrient supply and maintain a water retention capacity of 70–100%. Roots from 12 plants were sampled 45 days after inoculation.</w:t>
      </w:r>
    </w:p>
    <w:p w14:paraId="00000006" w14:textId="77777777" w:rsidR="00F550A2" w:rsidRDefault="002309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each replicate, eight plants were selected for disease assessment and pathogen quantificati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on. Clubroot symptoms were evaluated using a disease index based on gall localization and size (Manzanares-Dauleux et al., 2000). Roots were excised below the collar at a depth of -1 to -6 cm, separated from the soil, and washed twice in sterile water for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seconds each using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vortexing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The roots were then cut into small pieces, frozen in liquid nitrogen, and stored at -80°C. Following lyophilization, dry root biomass was measured, and the resulting powder was used for DNA extraction and pathogen quantific</w:t>
      </w:r>
      <w:r>
        <w:rPr>
          <w:rFonts w:ascii="Times New Roman" w:eastAsia="Times New Roman" w:hAnsi="Times New Roman" w:cs="Times New Roman"/>
          <w:sz w:val="24"/>
          <w:szCs w:val="24"/>
        </w:rPr>
        <w:t>ation via qPCR (Daval et al., 2020).</w:t>
      </w:r>
    </w:p>
    <w:p w14:paraId="00000007" w14:textId="77777777" w:rsidR="00F550A2" w:rsidRDefault="002309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quantitative PCR, 1 µl of DNA extracted from root samples was analyzed using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LightCycler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® 480 Real-Time PCR System (Roche) to quantify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brassicae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This involved amplifying a 164 pb sequence of the 18S gene wit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primers: 5ʹ-TTGGGTAATTTGCGCGCCTG-3ʹ (forward) and 5ʹ-CAGCGGCAGGTCATTCAACA-3ʹ (reverse). Each 20 µl qPCR reaction contained 10 µl of SYBR Green Master Mix (Roche), 0.08 µl of each primer (100 µM), and 1 µl of template DNA. The PCR conditions consisted 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initial denaturation at 95°C for 5 min, followed by 45 cycles at 95°C for 10 s and 64°C for 40 s. Standard curves were generated using serial dilutions of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brassicae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DNA extracted from resting spores. Quantitative results were normalized to represent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mean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brassicae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DNA content in the total root-extracted DNA.</w:t>
      </w:r>
    </w:p>
    <w:p w14:paraId="00000008" w14:textId="77777777" w:rsidR="00F550A2" w:rsidRDefault="002309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each replicate (n=3), roots from the four remaining plants were sampled, washed in sterile water, cut into small pieces, and frozen in liquid nitrogen before storage at -80°C for subsequ</w:t>
      </w:r>
      <w:r>
        <w:rPr>
          <w:rFonts w:ascii="Times New Roman" w:eastAsia="Times New Roman" w:hAnsi="Times New Roman" w:cs="Times New Roman"/>
          <w:sz w:val="24"/>
          <w:szCs w:val="24"/>
        </w:rPr>
        <w:t>ent ribosomal profiling.</w:t>
      </w:r>
    </w:p>
    <w:p w14:paraId="00000009" w14:textId="77777777" w:rsidR="00F550A2" w:rsidRDefault="00F550A2">
      <w:pPr>
        <w:spacing w:after="0" w:line="240" w:lineRule="auto"/>
      </w:pPr>
    </w:p>
    <w:p w14:paraId="0000000A" w14:textId="77777777" w:rsidR="00F550A2" w:rsidRDefault="002309B0">
      <w:pPr>
        <w:spacing w:after="0" w:line="240" w:lineRule="auto"/>
        <w:ind w:left="540" w:hanging="54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Daval, S.,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Belcour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Gazengel, K., Legrand, L.,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Gouzy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Cottret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L., Lebreton, L., Aigu, Y., Mougel, C., and Manzanares-Dauleux, M. J. (2019). Computational analysis of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Plasmodiophora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brassicae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genome: mitochondrial sequ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ence description and metabolic pathway database design.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Genomics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111:1629–1640.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doi:10.1016/J.YGENO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.2018.11.013.</w:t>
      </w:r>
    </w:p>
    <w:p w14:paraId="0000000B" w14:textId="77777777" w:rsidR="00F550A2" w:rsidRDefault="002309B0">
      <w:pPr>
        <w:widowControl w:val="0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Daval, S., Gazengel, K.,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Belcour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Linglin, J., Guillerm-Erckelboudt, A. Y.,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Sarniguet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A., Manzanares-Dauleux, M. J., Lebreton, L., and Mou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gel, C. (2020). Soil microbiota influences clubroot disease by modulating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Plasmodiophora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brassicae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Brassica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napus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transcriptomes.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Microb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Biotechnol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13:1648–1672. doi:10.1111/1751-7915.13634.</w:t>
      </w:r>
    </w:p>
    <w:p w14:paraId="0000000C" w14:textId="77777777" w:rsidR="00F550A2" w:rsidRDefault="002309B0">
      <w:pPr>
        <w:spacing w:after="0" w:line="240" w:lineRule="auto"/>
        <w:ind w:left="540"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Manzanares-Dauleux, M.J.,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Divaret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I., Baron, F., and Thoma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G. (2000) Evaluation of French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Brassica oleracea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landraces for resistance to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Plasmodiophora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brassicae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Euphytica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113: 211–218.</w:t>
      </w:r>
    </w:p>
    <w:p w14:paraId="0000000D" w14:textId="77777777" w:rsidR="00F550A2" w:rsidRDefault="00F550A2">
      <w:pPr>
        <w:spacing w:after="0" w:line="240" w:lineRule="auto"/>
      </w:pPr>
    </w:p>
    <w:sectPr w:rsidR="00F550A2">
      <w:headerReference w:type="default" r:id="rId7"/>
      <w:footerReference w:type="default" r:id="rId8"/>
      <w:pgSz w:w="11906" w:h="16838"/>
      <w:pgMar w:top="1417" w:right="1417" w:bottom="1417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5AE034" w14:textId="77777777" w:rsidR="002309B0" w:rsidRDefault="002309B0">
      <w:pPr>
        <w:spacing w:after="0" w:line="240" w:lineRule="auto"/>
      </w:pPr>
      <w:r>
        <w:separator/>
      </w:r>
    </w:p>
  </w:endnote>
  <w:endnote w:type="continuationSeparator" w:id="0">
    <w:p w14:paraId="7398242D" w14:textId="77777777" w:rsidR="002309B0" w:rsidRDefault="0023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546B70-895A-4D89-AE42-9D19A140F056}"/>
    <w:embedBold r:id="rId2" w:fontKey="{051BAC8A-F71A-477C-916F-F7D9D14FD4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DE516C9-4077-483E-97F4-A8D7E1F9E05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E9CC5A4-E4FB-43FA-B7E2-9CDB26DD2C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0F" w14:textId="77777777" w:rsidR="00F550A2" w:rsidRDefault="00F550A2">
    <w:pPr>
      <w:tabs>
        <w:tab w:val="center" w:pos="4536"/>
        <w:tab w:val="right" w:pos="9072"/>
      </w:tabs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  <w:highlight w:val="yellow"/>
      </w:rPr>
    </w:pPr>
  </w:p>
  <w:p w14:paraId="00000010" w14:textId="0E09BA77" w:rsidR="00F550A2" w:rsidRDefault="002309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E2121C">
      <w:rPr>
        <w:color w:val="000000"/>
      </w:rPr>
      <w:fldChar w:fldCharType="separate"/>
    </w:r>
    <w:r w:rsidR="00E2121C">
      <w:rPr>
        <w:noProof/>
        <w:color w:val="000000"/>
      </w:rPr>
      <w:t>1</w:t>
    </w:r>
    <w:r>
      <w:rPr>
        <w:color w:val="000000"/>
      </w:rPr>
      <w:fldChar w:fldCharType="end"/>
    </w:r>
  </w:p>
  <w:p w14:paraId="00000011" w14:textId="77777777" w:rsidR="00F550A2" w:rsidRDefault="00F550A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4C2266" w14:textId="77777777" w:rsidR="002309B0" w:rsidRDefault="002309B0">
      <w:pPr>
        <w:spacing w:after="0" w:line="240" w:lineRule="auto"/>
      </w:pPr>
      <w:r>
        <w:separator/>
      </w:r>
    </w:p>
  </w:footnote>
  <w:footnote w:type="continuationSeparator" w:id="0">
    <w:p w14:paraId="403A7B8A" w14:textId="77777777" w:rsidR="002309B0" w:rsidRDefault="00230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0E" w14:textId="77777777" w:rsidR="00F550A2" w:rsidRDefault="00F550A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0A2"/>
    <w:rsid w:val="002309B0"/>
    <w:rsid w:val="00E2121C"/>
    <w:rsid w:val="00F5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EE2B18-AE6A-4024-8DC7-850AA1D96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re2Car">
    <w:name w:val="Titre 2 Car"/>
    <w:basedOn w:val="Policepardfaut"/>
    <w:uiPriority w:val="9"/>
    <w:rsid w:val="00D0795E"/>
    <w:rPr>
      <w:rFonts w:ascii="Calibri" w:eastAsia="Calibri" w:hAnsi="Calibri" w:cs="Calibri"/>
      <w:b/>
      <w:sz w:val="36"/>
      <w:szCs w:val="36"/>
      <w:lang w:val="en-US" w:eastAsia="fr-FR"/>
    </w:rPr>
  </w:style>
  <w:style w:type="character" w:customStyle="1" w:styleId="Titre3Car">
    <w:name w:val="Titre 3 Car"/>
    <w:basedOn w:val="Policepardfaut"/>
    <w:uiPriority w:val="9"/>
    <w:rsid w:val="00D0795E"/>
    <w:rPr>
      <w:rFonts w:ascii="Calibri" w:eastAsia="Calibri" w:hAnsi="Calibri" w:cs="Calibri"/>
      <w:b/>
      <w:sz w:val="28"/>
      <w:szCs w:val="28"/>
      <w:lang w:val="en-US" w:eastAsia="fr-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8Q6InIXnsesmtxYZKDuI59vF6A==">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605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Daval</dc:creator>
  <cp:lastModifiedBy>Stephanie Daval</cp:lastModifiedBy>
  <cp:revision>2</cp:revision>
  <dcterms:created xsi:type="dcterms:W3CDTF">2026-02-12T15:28:00Z</dcterms:created>
  <dcterms:modified xsi:type="dcterms:W3CDTF">2026-02-12T15:28:00Z</dcterms:modified>
</cp:coreProperties>
</file>