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8EF" w:rsidRPr="003A1CB4" w:rsidRDefault="002D58EF" w:rsidP="002D58EF">
      <w:pPr>
        <w:spacing w:line="480" w:lineRule="auto"/>
        <w:rPr>
          <w:rFonts w:ascii="Helvetica" w:hAnsi="Helvetica"/>
          <w:color w:val="000000" w:themeColor="text1"/>
          <w:sz w:val="22"/>
          <w:szCs w:val="22"/>
        </w:rPr>
      </w:pPr>
      <w:r w:rsidRPr="003A1CB4">
        <w:rPr>
          <w:rFonts w:ascii="Helvetica" w:hAnsi="Helvetica"/>
          <w:b/>
          <w:bCs/>
          <w:color w:val="000000" w:themeColor="text1"/>
          <w:sz w:val="22"/>
          <w:szCs w:val="22"/>
        </w:rPr>
        <w:t>Supplemental Fig 1.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(A) Enrichment or depletion of individual amino acids in 33–104aa (blue), 105–188aa (orange) and 189–265aa (green) of SFPQ IDR,</w:t>
      </w:r>
      <w:r w:rsidRPr="003A1CB4">
        <w:rPr>
          <w:color w:val="000000" w:themeColor="text1"/>
          <w:sz w:val="22"/>
          <w:szCs w:val="22"/>
        </w:rPr>
        <w:t xml:space="preserve"> 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as analyzed using Composition Profiler (http://www.cprofiler.org/). The </w:t>
      </w:r>
      <w:proofErr w:type="spellStart"/>
      <w:r w:rsidRPr="003A1CB4">
        <w:rPr>
          <w:rFonts w:ascii="Helvetica" w:hAnsi="Helvetica"/>
          <w:color w:val="000000" w:themeColor="text1"/>
          <w:sz w:val="22"/>
          <w:szCs w:val="22"/>
        </w:rPr>
        <w:t>SwissProt</w:t>
      </w:r>
      <w:proofErr w:type="spellEnd"/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51 dataset was used as the background. p values were determined by using a two-sample t-test, with Bonferroni correction for multiple comparisons. If the statistical test showed no significant difference (</w:t>
      </w:r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p 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&gt; 0.05), it is not specified in the figure. (B) Immunoblotting of Flag-tagged MCP-SFPQ WT and mutants in the Mini-NEAT1 and Mini-NEAT1/6×MS2@8.2kb cells (Fig. 1B–D). </w:t>
      </w:r>
      <w:r w:rsidRPr="003A1CB4">
        <w:rPr>
          <w:rFonts w:ascii="Symbol" w:hAnsi="Symbol"/>
          <w:color w:val="000000" w:themeColor="text1"/>
          <w:sz w:val="22"/>
          <w:szCs w:val="22"/>
        </w:rPr>
        <w:t></w:t>
      </w:r>
      <w:r w:rsidRPr="003A1CB4">
        <w:rPr>
          <w:rFonts w:ascii="Helvetica" w:hAnsi="Helvetica"/>
          <w:color w:val="000000" w:themeColor="text1"/>
          <w:sz w:val="22"/>
          <w:szCs w:val="22"/>
        </w:rPr>
        <w:t>-</w:t>
      </w:r>
      <w:proofErr w:type="spellStart"/>
      <w:r w:rsidRPr="003A1CB4">
        <w:rPr>
          <w:rFonts w:ascii="Helvetica" w:hAnsi="Helvetica"/>
          <w:color w:val="000000" w:themeColor="text1"/>
          <w:sz w:val="22"/>
          <w:szCs w:val="22"/>
        </w:rPr>
        <w:t>Tubulin</w:t>
      </w:r>
      <w:r w:rsidRPr="003A1CB4">
        <w:rPr>
          <w:rFonts w:ascii="Symbol" w:hAnsi="Symbol"/>
          <w:color w:val="000000" w:themeColor="text1"/>
          <w:sz w:val="22"/>
          <w:szCs w:val="22"/>
        </w:rPr>
        <w:t xml:space="preserve"> </w:t>
      </w:r>
      <w:r w:rsidRPr="003A1CB4">
        <w:rPr>
          <w:rFonts w:ascii="Helvetica" w:hAnsi="Helvetica"/>
          <w:color w:val="000000" w:themeColor="text1"/>
          <w:sz w:val="22"/>
          <w:szCs w:val="22"/>
        </w:rPr>
        <w:t>is</w:t>
      </w:r>
      <w:proofErr w:type="spellEnd"/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a loading control. Molecular weight markers (MW) are shown on the right.</w:t>
      </w:r>
    </w:p>
    <w:p w:rsidR="002D58EF" w:rsidRPr="003A1CB4" w:rsidRDefault="002D58EF" w:rsidP="002D58EF">
      <w:pPr>
        <w:spacing w:line="480" w:lineRule="auto"/>
        <w:rPr>
          <w:rFonts w:ascii="Helvetica" w:hAnsi="Helvetica"/>
          <w:color w:val="000000" w:themeColor="text1"/>
          <w:sz w:val="22"/>
          <w:szCs w:val="22"/>
        </w:rPr>
      </w:pPr>
    </w:p>
    <w:p w:rsidR="002D58EF" w:rsidRPr="003A1CB4" w:rsidRDefault="002D58EF" w:rsidP="002D58EF">
      <w:pPr>
        <w:spacing w:line="480" w:lineRule="auto"/>
        <w:rPr>
          <w:rFonts w:ascii="Helvetica" w:hAnsi="Helvetica"/>
          <w:color w:val="000000" w:themeColor="text1"/>
          <w:sz w:val="22"/>
          <w:szCs w:val="22"/>
        </w:rPr>
      </w:pPr>
      <w:r w:rsidRPr="003A1CB4">
        <w:rPr>
          <w:rFonts w:ascii="Helvetica" w:hAnsi="Helvetica"/>
          <w:b/>
          <w:bCs/>
          <w:color w:val="000000" w:themeColor="text1"/>
          <w:sz w:val="22"/>
          <w:szCs w:val="22"/>
        </w:rPr>
        <w:t>Supplemental Fig 2.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The central and C-terminal regions of SFPQ are relatively well conserved across species. (A) Multiple sequence alignment of full-length SFPQ from </w:t>
      </w:r>
      <w:r w:rsidRPr="003A1CB4">
        <w:rPr>
          <w:rFonts w:ascii="Helvetica" w:hAnsi="Helvetica" w:hint="eastAsia"/>
          <w:i/>
          <w:iCs/>
          <w:color w:val="000000" w:themeColor="text1"/>
          <w:sz w:val="22"/>
          <w:szCs w:val="22"/>
        </w:rPr>
        <w:t>Homo</w:t>
      </w:r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sapiens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</w:t>
      </w:r>
      <w:r w:rsidRPr="003A1CB4">
        <w:rPr>
          <w:rFonts w:ascii="Helvetica" w:hAnsi="Helvetica" w:hint="eastAsia"/>
          <w:color w:val="000000" w:themeColor="text1"/>
          <w:sz w:val="22"/>
          <w:szCs w:val="22"/>
        </w:rPr>
        <w:t>h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uman), </w:t>
      </w:r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>Mus musculus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(mouse), </w:t>
      </w:r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>Bos taurus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(bovine), </w:t>
      </w:r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Loxodonta </w:t>
      </w:r>
      <w:proofErr w:type="spellStart"/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>africana</w:t>
      </w:r>
      <w:proofErr w:type="spellEnd"/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(elephant), </w:t>
      </w:r>
      <w:proofErr w:type="spellStart"/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>Monodelphis</w:t>
      </w:r>
      <w:proofErr w:type="spellEnd"/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domestica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(opossum), </w:t>
      </w:r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Gallus </w:t>
      </w:r>
      <w:proofErr w:type="spellStart"/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>gallus</w:t>
      </w:r>
      <w:proofErr w:type="spellEnd"/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(chicken), </w:t>
      </w:r>
      <w:proofErr w:type="spellStart"/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>Pseudonaja</w:t>
      </w:r>
      <w:proofErr w:type="spellEnd"/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textilis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(snake), </w:t>
      </w:r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Xenopus </w:t>
      </w:r>
      <w:proofErr w:type="spellStart"/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>laevis</w:t>
      </w:r>
      <w:proofErr w:type="spellEnd"/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(frog), and </w:t>
      </w:r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Danio rerio </w:t>
      </w:r>
      <w:r w:rsidRPr="003A1CB4">
        <w:rPr>
          <w:rFonts w:ascii="Helvetica" w:hAnsi="Helvetica"/>
          <w:color w:val="000000" w:themeColor="text1"/>
          <w:sz w:val="22"/>
          <w:szCs w:val="22"/>
        </w:rPr>
        <w:t>(zebrafish). (B) Guide tree of SFPQ IDRs from human to zebrafish. (C) Enrichment or depletion of individual amino acids in human SFPQ IDR (blue) and zebrafish SFPQ IDR (orange),</w:t>
      </w:r>
      <w:r w:rsidRPr="003A1CB4">
        <w:rPr>
          <w:color w:val="000000" w:themeColor="text1"/>
          <w:sz w:val="22"/>
          <w:szCs w:val="22"/>
        </w:rPr>
        <w:t xml:space="preserve"> 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as analyzed using Composition Profiler. The IDR region of zebrafish was defined as the corresponding region to the human SFPQ IDR in the alignment shown in Fig. 2A. The </w:t>
      </w:r>
      <w:proofErr w:type="spellStart"/>
      <w:r w:rsidRPr="003A1CB4">
        <w:rPr>
          <w:rFonts w:ascii="Helvetica" w:hAnsi="Helvetica"/>
          <w:color w:val="000000" w:themeColor="text1"/>
          <w:sz w:val="22"/>
          <w:szCs w:val="22"/>
        </w:rPr>
        <w:t>SwissProt</w:t>
      </w:r>
      <w:proofErr w:type="spellEnd"/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51 dataset was used as the background. p values were determined by using a two-sample t-test, with Bonferroni correction for multiple comparisons. </w:t>
      </w:r>
      <w:r w:rsidRPr="003A1CB4">
        <w:rPr>
          <w:rFonts w:ascii="Helvetica" w:hAnsi="Helvetica"/>
          <w:color w:val="000000" w:themeColor="text1"/>
          <w:sz w:val="22"/>
          <w:szCs w:val="22"/>
        </w:rPr>
        <w:lastRenderedPageBreak/>
        <w:t>If the statistical test showed no significant difference (</w:t>
      </w:r>
      <w:r w:rsidRPr="003A1CB4">
        <w:rPr>
          <w:rFonts w:ascii="Helvetica" w:hAnsi="Helvetica"/>
          <w:i/>
          <w:iCs/>
          <w:color w:val="000000" w:themeColor="text1"/>
          <w:sz w:val="22"/>
          <w:szCs w:val="22"/>
        </w:rPr>
        <w:t>p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&gt; 0.05), it is not specified in the figure. (D) Immunoblotting of Flag-tagged MCP-SFPQ WT and mutants in the Mini-NEAT1 and Mini-NEAT1/6×MS2@8.2kb cells (Fig. 2B–D). </w:t>
      </w:r>
      <w:r w:rsidRPr="003A1CB4">
        <w:rPr>
          <w:rFonts w:ascii="Symbol" w:hAnsi="Symbol"/>
          <w:color w:val="000000" w:themeColor="text1"/>
          <w:sz w:val="22"/>
          <w:szCs w:val="22"/>
        </w:rPr>
        <w:t></w:t>
      </w:r>
      <w:r w:rsidRPr="003A1CB4">
        <w:rPr>
          <w:rFonts w:ascii="Helvetica" w:hAnsi="Helvetica"/>
          <w:color w:val="000000" w:themeColor="text1"/>
          <w:sz w:val="22"/>
          <w:szCs w:val="22"/>
        </w:rPr>
        <w:t>-</w:t>
      </w:r>
      <w:proofErr w:type="spellStart"/>
      <w:r w:rsidRPr="003A1CB4">
        <w:rPr>
          <w:rFonts w:ascii="Helvetica" w:hAnsi="Helvetica"/>
          <w:color w:val="000000" w:themeColor="text1"/>
          <w:sz w:val="22"/>
          <w:szCs w:val="22"/>
        </w:rPr>
        <w:t>Tubulin</w:t>
      </w:r>
      <w:r w:rsidRPr="003A1CB4">
        <w:rPr>
          <w:rFonts w:ascii="Symbol" w:hAnsi="Symbol"/>
          <w:color w:val="000000" w:themeColor="text1"/>
          <w:sz w:val="22"/>
          <w:szCs w:val="22"/>
        </w:rPr>
        <w:t xml:space="preserve"> </w:t>
      </w:r>
      <w:r w:rsidRPr="003A1CB4">
        <w:rPr>
          <w:rFonts w:ascii="Helvetica" w:hAnsi="Helvetica"/>
          <w:color w:val="000000" w:themeColor="text1"/>
          <w:sz w:val="22"/>
          <w:szCs w:val="22"/>
        </w:rPr>
        <w:t>is</w:t>
      </w:r>
      <w:proofErr w:type="spellEnd"/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a loading control. Molecular weight markers (MW) are shown on the right. </w:t>
      </w:r>
    </w:p>
    <w:p w:rsidR="002D58EF" w:rsidRPr="003A1CB4" w:rsidRDefault="002D58EF" w:rsidP="002D58EF">
      <w:pPr>
        <w:spacing w:line="480" w:lineRule="auto"/>
        <w:rPr>
          <w:rFonts w:ascii="Helvetica" w:hAnsi="Helvetica"/>
          <w:color w:val="000000" w:themeColor="text1"/>
          <w:sz w:val="22"/>
          <w:szCs w:val="22"/>
        </w:rPr>
      </w:pPr>
    </w:p>
    <w:p w:rsidR="002D58EF" w:rsidRPr="003A1CB4" w:rsidRDefault="002D58EF" w:rsidP="002D58EF">
      <w:pPr>
        <w:spacing w:line="480" w:lineRule="auto"/>
        <w:rPr>
          <w:rFonts w:ascii="Helvetica" w:hAnsi="Helvetica"/>
          <w:color w:val="000000" w:themeColor="text1"/>
          <w:sz w:val="22"/>
          <w:szCs w:val="22"/>
        </w:rPr>
      </w:pPr>
      <w:r w:rsidRPr="003A1CB4">
        <w:rPr>
          <w:rFonts w:ascii="Helvetica" w:hAnsi="Helvetica"/>
          <w:b/>
          <w:bCs/>
          <w:color w:val="000000" w:themeColor="text1"/>
          <w:sz w:val="22"/>
          <w:szCs w:val="22"/>
        </w:rPr>
        <w:t>Supplemental Fig 3.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(A) Compositional and patterning features of each subdomain within the SFPQ IDR, as </w:t>
      </w:r>
      <w:proofErr w:type="spellStart"/>
      <w:r w:rsidRPr="003A1CB4">
        <w:rPr>
          <w:rFonts w:ascii="Helvetica" w:hAnsi="Helvetica"/>
          <w:color w:val="000000" w:themeColor="text1"/>
          <w:sz w:val="22"/>
          <w:szCs w:val="22"/>
        </w:rPr>
        <w:t>analysed</w:t>
      </w:r>
      <w:proofErr w:type="spellEnd"/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using the NARDINI+ algorithm. Only features with an absolute Z-score </w:t>
      </w:r>
      <w:r w:rsidRPr="003A1CB4">
        <w:rPr>
          <w:rFonts w:ascii="Cambria Math" w:hAnsi="Cambria Math" w:cs="Cambria Math"/>
          <w:color w:val="000000" w:themeColor="text1"/>
          <w:sz w:val="22"/>
          <w:szCs w:val="22"/>
        </w:rPr>
        <w:t>≧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1 in at least one subdomain</w:t>
      </w:r>
      <w:r w:rsidRPr="003A1CB4">
        <w:rPr>
          <w:rFonts w:ascii="Helvetica" w:hAnsi="Helvetica" w:hint="eastAsia"/>
          <w:color w:val="000000" w:themeColor="text1"/>
          <w:sz w:val="22"/>
          <w:szCs w:val="22"/>
        </w:rPr>
        <w:t xml:space="preserve"> 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are shown. (B) Immunoblotting of Flag-tagged MCP-SFPQ WT and mutants in the Mini-NEAT1 and Mini-NEAT1/6×MS2@8.2kb cells (Fig. 3A–C). </w:t>
      </w:r>
      <w:r w:rsidRPr="003A1CB4">
        <w:rPr>
          <w:rFonts w:ascii="Symbol" w:hAnsi="Symbol"/>
          <w:color w:val="000000" w:themeColor="text1"/>
          <w:sz w:val="22"/>
          <w:szCs w:val="22"/>
        </w:rPr>
        <w:t></w:t>
      </w:r>
      <w:r w:rsidRPr="003A1CB4">
        <w:rPr>
          <w:rFonts w:ascii="Helvetica" w:hAnsi="Helvetica"/>
          <w:color w:val="000000" w:themeColor="text1"/>
          <w:sz w:val="22"/>
          <w:szCs w:val="22"/>
        </w:rPr>
        <w:t>-</w:t>
      </w:r>
      <w:proofErr w:type="spellStart"/>
      <w:r w:rsidRPr="003A1CB4">
        <w:rPr>
          <w:rFonts w:ascii="Helvetica" w:hAnsi="Helvetica"/>
          <w:color w:val="000000" w:themeColor="text1"/>
          <w:sz w:val="22"/>
          <w:szCs w:val="22"/>
        </w:rPr>
        <w:t>Tubulin</w:t>
      </w:r>
      <w:r w:rsidRPr="003A1CB4">
        <w:rPr>
          <w:rFonts w:ascii="Symbol" w:hAnsi="Symbol"/>
          <w:color w:val="000000" w:themeColor="text1"/>
          <w:sz w:val="22"/>
          <w:szCs w:val="22"/>
        </w:rPr>
        <w:t xml:space="preserve"> </w:t>
      </w:r>
      <w:r w:rsidRPr="003A1CB4">
        <w:rPr>
          <w:rFonts w:ascii="Helvetica" w:hAnsi="Helvetica"/>
          <w:color w:val="000000" w:themeColor="text1"/>
          <w:sz w:val="22"/>
          <w:szCs w:val="22"/>
        </w:rPr>
        <w:t>is</w:t>
      </w:r>
      <w:proofErr w:type="spellEnd"/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a loading control. Molecular weight markers (MW) are shown on the right. </w:t>
      </w:r>
    </w:p>
    <w:p w:rsidR="002D58EF" w:rsidRPr="003A1CB4" w:rsidRDefault="002D58EF" w:rsidP="002D58EF">
      <w:pPr>
        <w:spacing w:line="480" w:lineRule="auto"/>
        <w:rPr>
          <w:rFonts w:ascii="Helvetica" w:hAnsi="Helvetica"/>
          <w:color w:val="000000" w:themeColor="text1"/>
          <w:sz w:val="22"/>
          <w:szCs w:val="22"/>
        </w:rPr>
      </w:pPr>
    </w:p>
    <w:p w:rsidR="002D58EF" w:rsidRPr="003A1CB4" w:rsidRDefault="002D58EF" w:rsidP="002D58EF">
      <w:pPr>
        <w:spacing w:line="480" w:lineRule="auto"/>
        <w:rPr>
          <w:rFonts w:ascii="Helvetica" w:hAnsi="Helvetica"/>
          <w:color w:val="000000" w:themeColor="text1"/>
          <w:sz w:val="22"/>
          <w:szCs w:val="22"/>
        </w:rPr>
      </w:pPr>
      <w:r w:rsidRPr="003A1CB4">
        <w:rPr>
          <w:rFonts w:ascii="Helvetica" w:hAnsi="Helvetica"/>
          <w:b/>
          <w:bCs/>
          <w:color w:val="000000" w:themeColor="text1"/>
          <w:sz w:val="22"/>
          <w:szCs w:val="22"/>
        </w:rPr>
        <w:t>Supplemental Fig 4.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(A) </w:t>
      </w:r>
      <w:r w:rsidRPr="003A1CB4">
        <w:rPr>
          <w:rFonts w:ascii="Helvetica" w:hAnsi="Helvetica" w:hint="eastAsia"/>
          <w:color w:val="000000" w:themeColor="text1"/>
          <w:sz w:val="22"/>
          <w:szCs w:val="22"/>
        </w:rPr>
        <w:t>Final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structure in the two-molecule system. (B) Intermolecular residue contacts in the two-molecule system. The quantity proportional to the probability of the residue distance being ≤ 7.0 Å is displayed on a color map.</w:t>
      </w:r>
    </w:p>
    <w:p w:rsidR="002D58EF" w:rsidRPr="003A1CB4" w:rsidRDefault="002D58EF" w:rsidP="002D58EF">
      <w:pPr>
        <w:spacing w:line="480" w:lineRule="auto"/>
        <w:rPr>
          <w:rFonts w:ascii="Helvetica" w:hAnsi="Helvetica"/>
          <w:color w:val="000000" w:themeColor="text1"/>
          <w:sz w:val="22"/>
          <w:szCs w:val="22"/>
        </w:rPr>
      </w:pPr>
    </w:p>
    <w:p w:rsidR="002D58EF" w:rsidRPr="003A1CB4" w:rsidRDefault="002D58EF" w:rsidP="002D58EF">
      <w:pPr>
        <w:spacing w:line="480" w:lineRule="auto"/>
        <w:rPr>
          <w:rFonts w:ascii="Helvetica" w:hAnsi="Helvetica"/>
          <w:color w:val="000000" w:themeColor="text1"/>
          <w:sz w:val="22"/>
          <w:szCs w:val="22"/>
        </w:rPr>
      </w:pPr>
      <w:r w:rsidRPr="003A1CB4">
        <w:rPr>
          <w:rFonts w:ascii="Helvetica" w:hAnsi="Helvetica"/>
          <w:b/>
          <w:bCs/>
          <w:color w:val="000000" w:themeColor="text1"/>
          <w:sz w:val="22"/>
          <w:szCs w:val="22"/>
        </w:rPr>
        <w:t>Supplemental Fig 5.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 BRD4 has IDR with a blocky pattern of proline and glutamine. (A) Table of the top 10 proteins based on P/Q-rich values. From left to right: Protein name, P/Q-rich sequence (70 amino acids), P/Q-rich values (The number of P × the number of Q), and Motif counts (“PPQQ” and “QQPP”). (B) Left: Scatter plot showing P/Q-rich values on the X-axis </w:t>
      </w:r>
      <w:r w:rsidRPr="003A1CB4">
        <w:rPr>
          <w:rFonts w:ascii="Helvetica" w:hAnsi="Helvetica"/>
          <w:color w:val="000000" w:themeColor="text1"/>
          <w:sz w:val="22"/>
          <w:szCs w:val="22"/>
        </w:rPr>
        <w:lastRenderedPageBreak/>
        <w:t xml:space="preserve">and the count of "PPXQQ" or "QQXPP" motifs on the Y-axis. Protein names are displayed for IDRs with a P/Q-rich value of 500 or higher and a motif count of at least 5. Right: Scatter plot with P/Q-rich values on the X-axis and the count of "PPPQQQ" or "QQQPPP" motifs on the Y-axis. Protein names are shown for IDRs with a P/Q-rich value of 500 or higher and a motif count of at least 2. (C) A diagram showing the positions of “PPQQ” </w:t>
      </w:r>
      <w:r w:rsidRPr="003A1CB4">
        <w:rPr>
          <w:rFonts w:ascii="Helvetica" w:hAnsi="Helvetica" w:hint="eastAsia"/>
          <w:color w:val="000000" w:themeColor="text1"/>
          <w:sz w:val="22"/>
          <w:szCs w:val="22"/>
        </w:rPr>
        <w:t>a</w:t>
      </w:r>
      <w:r w:rsidRPr="003A1CB4">
        <w:rPr>
          <w:rFonts w:ascii="Helvetica" w:hAnsi="Helvetica"/>
          <w:color w:val="000000" w:themeColor="text1"/>
          <w:sz w:val="22"/>
          <w:szCs w:val="22"/>
        </w:rPr>
        <w:t xml:space="preserve">nd “QQPP” motifs in each protein. In Fig. 5E and F, the region from 742 to 1039 aa of BRD4 is defined as the P/Q-rich IDR. (D) Immunoblotting of Flag-tagged MCP-SFPQ WT and mutants in the Mini-NEAT1 and Mini-NEAT1/6×MS2@8.2kb cells (Fig. 5E, F). </w:t>
      </w:r>
      <w:r w:rsidRPr="003A1CB4">
        <w:rPr>
          <w:rFonts w:ascii="Symbol" w:hAnsi="Symbol"/>
          <w:color w:val="000000" w:themeColor="text1"/>
          <w:sz w:val="22"/>
          <w:szCs w:val="22"/>
        </w:rPr>
        <w:t>a</w:t>
      </w:r>
      <w:r w:rsidRPr="003A1CB4">
        <w:rPr>
          <w:rFonts w:ascii="Helvetica" w:hAnsi="Helvetica"/>
          <w:color w:val="000000" w:themeColor="text1"/>
          <w:sz w:val="22"/>
          <w:szCs w:val="22"/>
        </w:rPr>
        <w:t>-Tubulin is a loading control. Molecular weight markers (MW) are shown on the right.</w:t>
      </w:r>
    </w:p>
    <w:p w:rsidR="00A76FC8" w:rsidRDefault="00A76FC8"/>
    <w:sectPr w:rsidR="00A76FC8" w:rsidSect="00057ADB">
      <w:footerReference w:type="even" r:id="rId4"/>
      <w:footerReference w:type="default" r:id="rId5"/>
      <w:pgSz w:w="11906" w:h="16838"/>
      <w:pgMar w:top="1440" w:right="1440" w:bottom="1440" w:left="1440" w:header="720" w:footer="720" w:gutter="0"/>
      <w:lnNumType w:countBy="1" w:restart="continuous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6939334"/>
      <w:docPartObj>
        <w:docPartGallery w:val="Page Numbers (Bottom of Page)"/>
        <w:docPartUnique/>
      </w:docPartObj>
    </w:sdtPr>
    <w:sdtContent>
      <w:p w:rsidR="00000000" w:rsidRDefault="00000000" w:rsidP="001F20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16121673"/>
      <w:docPartObj>
        <w:docPartGallery w:val="Page Numbers (Bottom of Page)"/>
        <w:docPartUnique/>
      </w:docPartObj>
    </w:sdtPr>
    <w:sdtContent>
      <w:p w:rsidR="00000000" w:rsidRDefault="00000000" w:rsidP="001F20E5">
        <w:pPr>
          <w:pStyle w:val="Footer"/>
          <w:framePr w:wrap="none" w:vAnchor="text" w:hAnchor="margin" w:xAlign="center" w:y="1"/>
          <w:rPr>
            <w:rStyle w:val="PageNumber"/>
          </w:rPr>
        </w:pPr>
        <w:proofErr w:type="spellStart"/>
        <w:r>
          <w:rPr>
            <w:rStyle w:val="PageNumber"/>
          </w:rPr>
          <w:t>Takakuwa</w:t>
        </w:r>
        <w:proofErr w:type="spellEnd"/>
        <w:r>
          <w:rPr>
            <w:rStyle w:val="PageNumber"/>
          </w:rPr>
          <w:t xml:space="preserve">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EF"/>
    <w:rsid w:val="002D58EF"/>
    <w:rsid w:val="006871DB"/>
    <w:rsid w:val="00A76FC8"/>
    <w:rsid w:val="00B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CD609"/>
  <w14:defaultImageDpi w14:val="32767"/>
  <w15:chartTrackingRefBased/>
  <w15:docId w15:val="{9F776043-BB9D-E04E-BCDB-0CB2473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58EF"/>
    <w:pPr>
      <w:widowControl w:val="0"/>
      <w:jc w:val="both"/>
    </w:pPr>
    <w:rPr>
      <w:rFonts w:eastAsiaTheme="minorEastAsia"/>
      <w:sz w:val="21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58EF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D58EF"/>
    <w:rPr>
      <w:rFonts w:eastAsiaTheme="minorEastAsia"/>
      <w:sz w:val="21"/>
      <w:lang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D58EF"/>
  </w:style>
  <w:style w:type="character" w:styleId="LineNumber">
    <w:name w:val="line number"/>
    <w:basedOn w:val="DefaultParagraphFont"/>
    <w:uiPriority w:val="99"/>
    <w:semiHidden/>
    <w:unhideWhenUsed/>
    <w:rsid w:val="002D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Mulligan, Mary</dc:creator>
  <cp:keywords/>
  <dc:description/>
  <cp:lastModifiedBy>Mulligan, Mary</cp:lastModifiedBy>
  <cp:revision>1</cp:revision>
  <dcterms:created xsi:type="dcterms:W3CDTF">2026-01-22T15:00:00Z</dcterms:created>
  <dcterms:modified xsi:type="dcterms:W3CDTF">2026-01-22T15:01:00Z</dcterms:modified>
</cp:coreProperties>
</file>