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30A363" w14:textId="7C7CBA70" w:rsidR="00BA1DAE" w:rsidRPr="005B36C8" w:rsidRDefault="004E25B8" w:rsidP="00BA1DAE">
      <w:pPr>
        <w:pStyle w:val="Heading1"/>
      </w:pPr>
      <w:r>
        <w:t>Supplemental Material</w:t>
      </w:r>
    </w:p>
    <w:p w14:paraId="00F8E35D" w14:textId="77777777" w:rsidR="00BA1DAE" w:rsidRPr="005B36C8" w:rsidRDefault="00BA1DAE" w:rsidP="00BA1DAE">
      <w:pPr>
        <w:rPr>
          <w:rFonts w:ascii="Arial" w:hAnsi="Arial" w:cs="Arial"/>
          <w:sz w:val="20"/>
          <w:szCs w:val="20"/>
        </w:rPr>
      </w:pPr>
    </w:p>
    <w:p w14:paraId="67370474" w14:textId="2CD140A3" w:rsidR="00BA1DAE" w:rsidRPr="005B36C8" w:rsidRDefault="00BA1DAE" w:rsidP="00BA1DAE">
      <w:pPr>
        <w:rPr>
          <w:rFonts w:ascii="Arial" w:hAnsi="Arial" w:cs="Arial"/>
          <w:sz w:val="20"/>
          <w:szCs w:val="20"/>
        </w:rPr>
      </w:pPr>
      <w:r w:rsidRPr="005B36C8">
        <w:rPr>
          <w:rFonts w:ascii="Arial" w:hAnsi="Arial" w:cs="Arial"/>
          <w:b/>
          <w:bCs/>
          <w:sz w:val="20"/>
          <w:szCs w:val="20"/>
        </w:rPr>
        <w:t>Table S1.</w:t>
      </w:r>
      <w:r w:rsidRPr="005B36C8">
        <w:rPr>
          <w:rFonts w:ascii="Arial" w:hAnsi="Arial" w:cs="Arial"/>
          <w:sz w:val="20"/>
          <w:szCs w:val="20"/>
        </w:rPr>
        <w:t xml:space="preserve"> Primers used in this study.</w:t>
      </w:r>
    </w:p>
    <w:tbl>
      <w:tblPr>
        <w:tblStyle w:val="TableGrid"/>
        <w:tblpPr w:leftFromText="141" w:rightFromText="141" w:vertAnchor="text" w:horzAnchor="margin" w:tblpY="1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113" w:type="dxa"/>
          <w:bottom w:w="57" w:type="dxa"/>
          <w:right w:w="28" w:type="dxa"/>
        </w:tblCellMar>
        <w:tblLook w:val="04A0" w:firstRow="1" w:lastRow="0" w:firstColumn="1" w:lastColumn="0" w:noHBand="0" w:noVBand="1"/>
      </w:tblPr>
      <w:tblGrid>
        <w:gridCol w:w="1560"/>
        <w:gridCol w:w="4961"/>
        <w:gridCol w:w="2549"/>
      </w:tblGrid>
      <w:tr w:rsidR="00BA1DAE" w:rsidRPr="005B36C8" w14:paraId="21022D4B" w14:textId="77777777" w:rsidTr="00DC0EF8">
        <w:tc>
          <w:tcPr>
            <w:tcW w:w="860" w:type="pct"/>
            <w:tcBorders>
              <w:top w:val="single" w:sz="8" w:space="0" w:color="auto"/>
              <w:bottom w:val="single" w:sz="8" w:space="0" w:color="auto"/>
            </w:tcBorders>
            <w:vAlign w:val="center"/>
          </w:tcPr>
          <w:p w14:paraId="44B2D3A6" w14:textId="77777777" w:rsidR="00BA1DAE" w:rsidRPr="005B36C8" w:rsidRDefault="00BA1DAE" w:rsidP="00DC0EF8">
            <w:pPr>
              <w:rPr>
                <w:rFonts w:ascii="Arial" w:hAnsi="Arial" w:cs="Arial"/>
                <w:b/>
                <w:bCs/>
                <w:sz w:val="20"/>
                <w:szCs w:val="20"/>
                <w:lang w:val="en-GB"/>
              </w:rPr>
            </w:pPr>
            <w:r w:rsidRPr="005B36C8">
              <w:rPr>
                <w:rFonts w:ascii="Arial" w:hAnsi="Arial" w:cs="Arial"/>
                <w:b/>
                <w:bCs/>
                <w:sz w:val="20"/>
                <w:szCs w:val="20"/>
                <w:lang w:val="en-GB"/>
              </w:rPr>
              <w:t>Primer Name</w:t>
            </w:r>
          </w:p>
        </w:tc>
        <w:tc>
          <w:tcPr>
            <w:tcW w:w="2735" w:type="pct"/>
            <w:tcBorders>
              <w:top w:val="single" w:sz="8" w:space="0" w:color="auto"/>
              <w:bottom w:val="single" w:sz="8" w:space="0" w:color="auto"/>
            </w:tcBorders>
            <w:vAlign w:val="center"/>
          </w:tcPr>
          <w:p w14:paraId="1B6E4FC3" w14:textId="77777777" w:rsidR="00BA1DAE" w:rsidRPr="005B36C8" w:rsidRDefault="00BA1DAE" w:rsidP="00DC0EF8">
            <w:pPr>
              <w:rPr>
                <w:rFonts w:ascii="Arial" w:hAnsi="Arial" w:cs="Arial"/>
                <w:b/>
                <w:bCs/>
                <w:sz w:val="20"/>
                <w:szCs w:val="20"/>
                <w:lang w:val="en-GB"/>
              </w:rPr>
            </w:pPr>
            <w:r w:rsidRPr="005B36C8">
              <w:rPr>
                <w:rFonts w:ascii="Arial" w:hAnsi="Arial" w:cs="Arial"/>
                <w:b/>
                <w:bCs/>
                <w:sz w:val="20"/>
                <w:szCs w:val="20"/>
                <w:lang w:val="en-GB"/>
              </w:rPr>
              <w:t xml:space="preserve">Sequence 5’ </w:t>
            </w:r>
            <w:r w:rsidRPr="005B36C8">
              <w:rPr>
                <w:rFonts w:ascii="Arial" w:hAnsi="Arial" w:cs="Arial"/>
                <w:b/>
                <w:bCs/>
                <w:sz w:val="20"/>
                <w:szCs w:val="20"/>
                <w:lang w:val="en-GB"/>
              </w:rPr>
              <w:sym w:font="Symbol" w:char="F0AE"/>
            </w:r>
            <w:r w:rsidRPr="005B36C8">
              <w:rPr>
                <w:rFonts w:ascii="Arial" w:hAnsi="Arial" w:cs="Arial"/>
                <w:b/>
                <w:bCs/>
                <w:sz w:val="20"/>
                <w:szCs w:val="20"/>
                <w:lang w:val="en-GB"/>
              </w:rPr>
              <w:t xml:space="preserve"> 3’</w:t>
            </w:r>
          </w:p>
        </w:tc>
        <w:tc>
          <w:tcPr>
            <w:tcW w:w="1405" w:type="pct"/>
            <w:tcBorders>
              <w:top w:val="single" w:sz="8" w:space="0" w:color="auto"/>
              <w:bottom w:val="single" w:sz="8" w:space="0" w:color="auto"/>
            </w:tcBorders>
            <w:vAlign w:val="center"/>
          </w:tcPr>
          <w:p w14:paraId="71F6B81D" w14:textId="77777777" w:rsidR="00BA1DAE" w:rsidRPr="005B36C8" w:rsidRDefault="00BA1DAE" w:rsidP="00DC0EF8">
            <w:pPr>
              <w:rPr>
                <w:rFonts w:ascii="Arial" w:hAnsi="Arial" w:cs="Arial"/>
                <w:b/>
                <w:bCs/>
                <w:sz w:val="20"/>
                <w:szCs w:val="20"/>
                <w:lang w:val="en-GB"/>
              </w:rPr>
            </w:pPr>
            <w:r w:rsidRPr="005B36C8">
              <w:rPr>
                <w:rFonts w:ascii="Arial" w:hAnsi="Arial" w:cs="Arial"/>
                <w:b/>
                <w:bCs/>
                <w:sz w:val="20"/>
                <w:szCs w:val="20"/>
                <w:lang w:val="en-GB"/>
              </w:rPr>
              <w:t>Observations</w:t>
            </w:r>
          </w:p>
        </w:tc>
      </w:tr>
      <w:tr w:rsidR="00BA1DAE" w:rsidRPr="005B36C8" w14:paraId="753FC13A" w14:textId="77777777" w:rsidTr="00DC0EF8">
        <w:tc>
          <w:tcPr>
            <w:tcW w:w="860" w:type="pct"/>
            <w:tcBorders>
              <w:top w:val="single" w:sz="8" w:space="0" w:color="auto"/>
              <w:bottom w:val="single" w:sz="4" w:space="0" w:color="auto"/>
            </w:tcBorders>
          </w:tcPr>
          <w:p w14:paraId="6B905A5B"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 xml:space="preserve">T7Fw </w:t>
            </w:r>
          </w:p>
        </w:tc>
        <w:tc>
          <w:tcPr>
            <w:tcW w:w="2735" w:type="pct"/>
            <w:tcBorders>
              <w:top w:val="single" w:sz="8" w:space="0" w:color="auto"/>
              <w:bottom w:val="single" w:sz="4" w:space="0" w:color="auto"/>
            </w:tcBorders>
          </w:tcPr>
          <w:p w14:paraId="1BE7332C"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TAATACGACTCACTATAGG</w:t>
            </w:r>
          </w:p>
        </w:tc>
        <w:tc>
          <w:tcPr>
            <w:tcW w:w="1405" w:type="pct"/>
            <w:vMerge w:val="restart"/>
            <w:tcBorders>
              <w:top w:val="single" w:sz="8" w:space="0" w:color="auto"/>
            </w:tcBorders>
            <w:vAlign w:val="center"/>
          </w:tcPr>
          <w:p w14:paraId="0FA2D7DC" w14:textId="77777777" w:rsidR="00BA1DAE" w:rsidRPr="005B36C8" w:rsidRDefault="00BA1DAE" w:rsidP="00DC0EF8">
            <w:pPr>
              <w:rPr>
                <w:rFonts w:ascii="Arial" w:hAnsi="Arial" w:cs="Arial"/>
                <w:sz w:val="20"/>
                <w:szCs w:val="20"/>
                <w:lang w:val="en-GB"/>
              </w:rPr>
            </w:pPr>
          </w:p>
        </w:tc>
      </w:tr>
      <w:tr w:rsidR="00BA1DAE" w:rsidRPr="005B36C8" w14:paraId="36E4AF67" w14:textId="77777777" w:rsidTr="00DC0EF8">
        <w:tc>
          <w:tcPr>
            <w:tcW w:w="860" w:type="pct"/>
            <w:tcBorders>
              <w:top w:val="single" w:sz="4" w:space="0" w:color="auto"/>
              <w:bottom w:val="single" w:sz="4" w:space="0" w:color="auto"/>
            </w:tcBorders>
          </w:tcPr>
          <w:p w14:paraId="29E4B1A7"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T7Rev</w:t>
            </w:r>
          </w:p>
        </w:tc>
        <w:tc>
          <w:tcPr>
            <w:tcW w:w="2735" w:type="pct"/>
            <w:tcBorders>
              <w:top w:val="single" w:sz="4" w:space="0" w:color="auto"/>
              <w:bottom w:val="single" w:sz="4" w:space="0" w:color="auto"/>
            </w:tcBorders>
          </w:tcPr>
          <w:p w14:paraId="45801694"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GCTAGTTATTGCTCAGCGG</w:t>
            </w:r>
          </w:p>
        </w:tc>
        <w:tc>
          <w:tcPr>
            <w:tcW w:w="1405" w:type="pct"/>
            <w:vMerge/>
            <w:tcBorders>
              <w:bottom w:val="single" w:sz="4" w:space="0" w:color="auto"/>
            </w:tcBorders>
          </w:tcPr>
          <w:p w14:paraId="5DEF0D78" w14:textId="77777777" w:rsidR="00BA1DAE" w:rsidRPr="005B36C8" w:rsidRDefault="00BA1DAE" w:rsidP="00DC0EF8">
            <w:pPr>
              <w:rPr>
                <w:rFonts w:ascii="Arial" w:hAnsi="Arial" w:cs="Arial"/>
                <w:sz w:val="20"/>
                <w:szCs w:val="20"/>
                <w:lang w:val="en-GB"/>
              </w:rPr>
            </w:pPr>
          </w:p>
        </w:tc>
      </w:tr>
      <w:tr w:rsidR="00BA1DAE" w:rsidRPr="005B36C8" w14:paraId="38104A8C" w14:textId="77777777" w:rsidTr="00DC0EF8">
        <w:tc>
          <w:tcPr>
            <w:tcW w:w="860" w:type="pct"/>
            <w:tcBorders>
              <w:top w:val="single" w:sz="4" w:space="0" w:color="auto"/>
              <w:bottom w:val="single" w:sz="4" w:space="0" w:color="auto"/>
            </w:tcBorders>
          </w:tcPr>
          <w:p w14:paraId="7E29D117"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 xml:space="preserve">168_Fw </w:t>
            </w:r>
          </w:p>
        </w:tc>
        <w:tc>
          <w:tcPr>
            <w:tcW w:w="2735" w:type="pct"/>
            <w:tcBorders>
              <w:top w:val="single" w:sz="4" w:space="0" w:color="auto"/>
              <w:bottom w:val="single" w:sz="4" w:space="0" w:color="auto"/>
            </w:tcBorders>
          </w:tcPr>
          <w:p w14:paraId="254754EB" w14:textId="77777777" w:rsidR="00BA1DAE" w:rsidRPr="005B36C8" w:rsidRDefault="00BA1DAE" w:rsidP="00DC0EF8">
            <w:pPr>
              <w:rPr>
                <w:rFonts w:ascii="Arial" w:hAnsi="Arial" w:cs="Arial"/>
                <w:color w:val="A2B9BE"/>
                <w:sz w:val="20"/>
                <w:szCs w:val="20"/>
                <w:lang w:val="en-GB"/>
              </w:rPr>
            </w:pPr>
            <w:r w:rsidRPr="005B36C8">
              <w:rPr>
                <w:rFonts w:ascii="Arial" w:hAnsi="Arial" w:cs="Arial"/>
                <w:color w:val="000000" w:themeColor="text1"/>
                <w:sz w:val="20"/>
                <w:szCs w:val="20"/>
                <w:lang w:val="en-GB"/>
              </w:rPr>
              <w:t>GCAGGCGAGAATCTTTATTTTCAGGGATCCTC</w:t>
            </w:r>
            <w:r w:rsidRPr="005B36C8">
              <w:rPr>
                <w:rFonts w:ascii="Arial" w:hAnsi="Arial" w:cs="Arial"/>
                <w:sz w:val="20"/>
                <w:szCs w:val="20"/>
                <w:lang w:val="en-GB"/>
              </w:rPr>
              <w:t>ATCCAATGCGAAAAAGTCAG</w:t>
            </w:r>
          </w:p>
        </w:tc>
        <w:tc>
          <w:tcPr>
            <w:tcW w:w="1405" w:type="pct"/>
            <w:vMerge w:val="restart"/>
            <w:tcBorders>
              <w:top w:val="single" w:sz="4" w:space="0" w:color="auto"/>
            </w:tcBorders>
            <w:vAlign w:val="center"/>
          </w:tcPr>
          <w:p w14:paraId="3C919510"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Primers for SLIC cloning SpDis3L2</w:t>
            </w:r>
            <w:r w:rsidRPr="005B36C8">
              <w:rPr>
                <w:rFonts w:ascii="Arial" w:hAnsi="Arial" w:cs="Arial"/>
                <w:sz w:val="20"/>
                <w:szCs w:val="20"/>
                <w:vertAlign w:val="superscript"/>
                <w:lang w:val="en-GB"/>
              </w:rPr>
              <w:sym w:font="Symbol" w:char="F044"/>
            </w:r>
            <w:r w:rsidRPr="005B36C8">
              <w:rPr>
                <w:rFonts w:ascii="Arial" w:hAnsi="Arial" w:cs="Arial"/>
                <w:sz w:val="20"/>
                <w:szCs w:val="20"/>
                <w:vertAlign w:val="superscript"/>
                <w:lang w:val="en-GB"/>
              </w:rPr>
              <w:t>N168</w:t>
            </w:r>
            <w:r w:rsidRPr="005B36C8">
              <w:rPr>
                <w:rFonts w:ascii="Arial" w:hAnsi="Arial" w:cs="Arial"/>
                <w:sz w:val="20"/>
                <w:szCs w:val="20"/>
                <w:lang w:val="en-GB"/>
              </w:rPr>
              <w:t xml:space="preserve"> in </w:t>
            </w:r>
            <w:proofErr w:type="spellStart"/>
            <w:r w:rsidRPr="005B36C8">
              <w:rPr>
                <w:rFonts w:ascii="Arial" w:hAnsi="Arial" w:cs="Arial"/>
                <w:sz w:val="20"/>
                <w:szCs w:val="20"/>
                <w:lang w:val="en-GB"/>
              </w:rPr>
              <w:t>pQlinkH</w:t>
            </w:r>
            <w:proofErr w:type="spellEnd"/>
            <w:r w:rsidRPr="005B36C8">
              <w:rPr>
                <w:rFonts w:ascii="Arial" w:hAnsi="Arial" w:cs="Arial"/>
                <w:sz w:val="20"/>
                <w:szCs w:val="20"/>
                <w:lang w:val="en-GB"/>
              </w:rPr>
              <w:t>.</w:t>
            </w:r>
          </w:p>
        </w:tc>
      </w:tr>
      <w:tr w:rsidR="00BA1DAE" w:rsidRPr="005B36C8" w14:paraId="699E3A2F" w14:textId="77777777" w:rsidTr="00DC0EF8">
        <w:tc>
          <w:tcPr>
            <w:tcW w:w="860" w:type="pct"/>
            <w:tcBorders>
              <w:top w:val="single" w:sz="4" w:space="0" w:color="auto"/>
              <w:bottom w:val="single" w:sz="4" w:space="0" w:color="auto"/>
            </w:tcBorders>
          </w:tcPr>
          <w:p w14:paraId="6408BE7D"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927_Rev</w:t>
            </w:r>
          </w:p>
        </w:tc>
        <w:tc>
          <w:tcPr>
            <w:tcW w:w="2735" w:type="pct"/>
            <w:tcBorders>
              <w:top w:val="single" w:sz="4" w:space="0" w:color="auto"/>
              <w:bottom w:val="single" w:sz="4" w:space="0" w:color="auto"/>
            </w:tcBorders>
          </w:tcPr>
          <w:p w14:paraId="3E80B540" w14:textId="77777777" w:rsidR="00BA1DAE" w:rsidRPr="005B36C8" w:rsidRDefault="00BA1DAE" w:rsidP="00DC0EF8">
            <w:pPr>
              <w:rPr>
                <w:rFonts w:ascii="Arial" w:hAnsi="Arial" w:cs="Arial"/>
                <w:color w:val="A2B9BE"/>
                <w:sz w:val="20"/>
                <w:szCs w:val="20"/>
                <w:lang w:val="en-GB"/>
              </w:rPr>
            </w:pPr>
            <w:r w:rsidRPr="005B36C8">
              <w:rPr>
                <w:rFonts w:ascii="Arial" w:hAnsi="Arial" w:cs="Arial"/>
                <w:color w:val="000000" w:themeColor="text1"/>
                <w:sz w:val="20"/>
                <w:szCs w:val="20"/>
                <w:lang w:val="en-GB"/>
              </w:rPr>
              <w:t>AAGAAAGCTGGGTCCTAGGCGGCCGCATTATT</w:t>
            </w:r>
            <w:r w:rsidRPr="005B36C8">
              <w:rPr>
                <w:rFonts w:ascii="Arial" w:hAnsi="Arial" w:cs="Arial"/>
                <w:color w:val="000000"/>
                <w:sz w:val="20"/>
                <w:szCs w:val="20"/>
                <w:lang w:val="en-GB"/>
              </w:rPr>
              <w:t>CAAAGAAACTAGACTACAGCG</w:t>
            </w:r>
          </w:p>
        </w:tc>
        <w:tc>
          <w:tcPr>
            <w:tcW w:w="1405" w:type="pct"/>
            <w:vMerge/>
            <w:vAlign w:val="center"/>
          </w:tcPr>
          <w:p w14:paraId="6AB62B0B" w14:textId="77777777" w:rsidR="00BA1DAE" w:rsidRPr="005B36C8" w:rsidRDefault="00BA1DAE" w:rsidP="00DC0EF8">
            <w:pPr>
              <w:rPr>
                <w:rFonts w:ascii="Arial" w:hAnsi="Arial" w:cs="Arial"/>
                <w:sz w:val="20"/>
                <w:szCs w:val="20"/>
                <w:lang w:val="en-GB"/>
              </w:rPr>
            </w:pPr>
          </w:p>
        </w:tc>
      </w:tr>
      <w:tr w:rsidR="00F71B9B" w:rsidRPr="005B36C8" w14:paraId="10A503D0" w14:textId="77777777" w:rsidTr="00DC0EF8">
        <w:tc>
          <w:tcPr>
            <w:tcW w:w="860" w:type="pct"/>
            <w:tcBorders>
              <w:top w:val="single" w:sz="4" w:space="0" w:color="auto"/>
              <w:bottom w:val="single" w:sz="4" w:space="0" w:color="auto"/>
            </w:tcBorders>
          </w:tcPr>
          <w:p w14:paraId="1D908809" w14:textId="2E55618D"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C560Y_Fw</w:t>
            </w:r>
          </w:p>
        </w:tc>
        <w:tc>
          <w:tcPr>
            <w:tcW w:w="2735" w:type="pct"/>
            <w:tcBorders>
              <w:top w:val="single" w:sz="4" w:space="0" w:color="auto"/>
              <w:bottom w:val="single" w:sz="4" w:space="0" w:color="auto"/>
            </w:tcBorders>
          </w:tcPr>
          <w:p w14:paraId="4CBF945E" w14:textId="1C8C3957"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CAGT</w:t>
            </w:r>
            <w:r w:rsidRPr="005B36C8">
              <w:rPr>
                <w:rFonts w:ascii="Arial" w:hAnsi="Arial" w:cs="Arial"/>
                <w:sz w:val="20"/>
                <w:szCs w:val="20"/>
                <w:u w:val="single"/>
                <w:lang w:val="en-GB"/>
              </w:rPr>
              <w:t>A</w:t>
            </w:r>
            <w:r w:rsidRPr="005B36C8">
              <w:rPr>
                <w:rFonts w:ascii="Arial" w:hAnsi="Arial" w:cs="Arial"/>
                <w:sz w:val="20"/>
                <w:szCs w:val="20"/>
                <w:lang w:val="en-GB"/>
              </w:rPr>
              <w:t>ATAAAGACAT</w:t>
            </w:r>
            <w:r w:rsidRPr="005B36C8">
              <w:rPr>
                <w:rFonts w:ascii="Arial" w:hAnsi="Arial" w:cs="Arial"/>
                <w:sz w:val="20"/>
                <w:szCs w:val="20"/>
                <w:u w:val="single"/>
                <w:lang w:val="en-GB"/>
              </w:rPr>
              <w:t>A</w:t>
            </w:r>
            <w:r w:rsidRPr="005B36C8">
              <w:rPr>
                <w:rFonts w:ascii="Arial" w:hAnsi="Arial" w:cs="Arial"/>
                <w:sz w:val="20"/>
                <w:szCs w:val="20"/>
                <w:lang w:val="en-GB"/>
              </w:rPr>
              <w:t>TGCC</w:t>
            </w:r>
          </w:p>
        </w:tc>
        <w:tc>
          <w:tcPr>
            <w:tcW w:w="1405" w:type="pct"/>
            <w:vMerge w:val="restart"/>
            <w:tcBorders>
              <w:top w:val="single" w:sz="4" w:space="0" w:color="auto"/>
            </w:tcBorders>
            <w:vAlign w:val="center"/>
          </w:tcPr>
          <w:p w14:paraId="6CABA9FB" w14:textId="4A806D49"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Primers for the introduction of C560Y mutation in the SpDis3L2 gene.</w:t>
            </w:r>
          </w:p>
        </w:tc>
      </w:tr>
      <w:tr w:rsidR="00F71B9B" w:rsidRPr="005B36C8" w14:paraId="25AA5B4E" w14:textId="77777777" w:rsidTr="004F779B">
        <w:tc>
          <w:tcPr>
            <w:tcW w:w="860" w:type="pct"/>
            <w:tcBorders>
              <w:top w:val="single" w:sz="4" w:space="0" w:color="auto"/>
              <w:bottom w:val="single" w:sz="4" w:space="0" w:color="auto"/>
            </w:tcBorders>
          </w:tcPr>
          <w:p w14:paraId="3A858EB8" w14:textId="3BED6994"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C560Y_Rev</w:t>
            </w:r>
          </w:p>
        </w:tc>
        <w:tc>
          <w:tcPr>
            <w:tcW w:w="2735" w:type="pct"/>
            <w:tcBorders>
              <w:top w:val="single" w:sz="4" w:space="0" w:color="auto"/>
              <w:bottom w:val="single" w:sz="4" w:space="0" w:color="auto"/>
            </w:tcBorders>
          </w:tcPr>
          <w:p w14:paraId="30C0FA71" w14:textId="1DF8275D"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GGCA</w:t>
            </w:r>
            <w:r w:rsidRPr="005B36C8">
              <w:rPr>
                <w:rFonts w:ascii="Arial" w:hAnsi="Arial" w:cs="Arial"/>
                <w:sz w:val="20"/>
                <w:szCs w:val="20"/>
                <w:u w:val="single"/>
                <w:lang w:val="en-GB"/>
              </w:rPr>
              <w:t>T</w:t>
            </w:r>
            <w:r w:rsidRPr="005B36C8">
              <w:rPr>
                <w:rFonts w:ascii="Arial" w:hAnsi="Arial" w:cs="Arial"/>
                <w:sz w:val="20"/>
                <w:szCs w:val="20"/>
                <w:lang w:val="en-GB"/>
              </w:rPr>
              <w:t>ATGTCTTTAT</w:t>
            </w:r>
            <w:r w:rsidRPr="005B36C8">
              <w:rPr>
                <w:rFonts w:ascii="Arial" w:hAnsi="Arial" w:cs="Arial"/>
                <w:sz w:val="20"/>
                <w:szCs w:val="20"/>
                <w:u w:val="single"/>
                <w:lang w:val="en-GB"/>
              </w:rPr>
              <w:t>T</w:t>
            </w:r>
            <w:r w:rsidRPr="005B36C8">
              <w:rPr>
                <w:rFonts w:ascii="Arial" w:hAnsi="Arial" w:cs="Arial"/>
                <w:sz w:val="20"/>
                <w:szCs w:val="20"/>
                <w:lang w:val="en-GB"/>
              </w:rPr>
              <w:t>ACTG</w:t>
            </w:r>
          </w:p>
        </w:tc>
        <w:tc>
          <w:tcPr>
            <w:tcW w:w="1405" w:type="pct"/>
            <w:vMerge/>
            <w:tcBorders>
              <w:bottom w:val="single" w:sz="4" w:space="0" w:color="auto"/>
            </w:tcBorders>
            <w:vAlign w:val="center"/>
          </w:tcPr>
          <w:p w14:paraId="76549378" w14:textId="77777777" w:rsidR="00F71B9B" w:rsidRPr="005B36C8" w:rsidRDefault="00F71B9B" w:rsidP="00F71B9B">
            <w:pPr>
              <w:rPr>
                <w:rFonts w:ascii="Arial" w:hAnsi="Arial" w:cs="Arial"/>
                <w:sz w:val="20"/>
                <w:szCs w:val="20"/>
                <w:lang w:val="en-GB"/>
              </w:rPr>
            </w:pPr>
          </w:p>
        </w:tc>
      </w:tr>
      <w:tr w:rsidR="00F71B9B" w:rsidRPr="005B36C8" w14:paraId="0A3EEEF0" w14:textId="77777777" w:rsidTr="004F779B">
        <w:tc>
          <w:tcPr>
            <w:tcW w:w="860" w:type="pct"/>
            <w:tcBorders>
              <w:top w:val="single" w:sz="4" w:space="0" w:color="auto"/>
              <w:bottom w:val="single" w:sz="4" w:space="0" w:color="auto"/>
            </w:tcBorders>
          </w:tcPr>
          <w:p w14:paraId="25597342" w14:textId="540AD108"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A756R_Fw</w:t>
            </w:r>
          </w:p>
        </w:tc>
        <w:tc>
          <w:tcPr>
            <w:tcW w:w="2735" w:type="pct"/>
            <w:tcBorders>
              <w:top w:val="single" w:sz="4" w:space="0" w:color="auto"/>
              <w:bottom w:val="single" w:sz="4" w:space="0" w:color="auto"/>
            </w:tcBorders>
          </w:tcPr>
          <w:p w14:paraId="73A78184" w14:textId="3E020D3A"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GTGAGAA</w:t>
            </w:r>
            <w:r w:rsidRPr="005B36C8">
              <w:rPr>
                <w:rFonts w:ascii="Arial" w:hAnsi="Arial" w:cs="Arial"/>
                <w:sz w:val="20"/>
                <w:szCs w:val="20"/>
                <w:u w:val="single"/>
                <w:lang w:val="en-GB"/>
              </w:rPr>
              <w:t>G</w:t>
            </w:r>
            <w:r w:rsidRPr="005B36C8">
              <w:rPr>
                <w:rFonts w:ascii="Arial" w:hAnsi="Arial" w:cs="Arial"/>
                <w:sz w:val="20"/>
                <w:szCs w:val="20"/>
                <w:lang w:val="en-GB"/>
              </w:rPr>
              <w:t>ACAGACTGGCACCATTAC</w:t>
            </w:r>
            <w:r w:rsidRPr="005B36C8">
              <w:rPr>
                <w:rFonts w:ascii="Arial" w:hAnsi="Arial" w:cs="Arial"/>
                <w:sz w:val="20"/>
                <w:szCs w:val="20"/>
                <w:u w:val="single"/>
                <w:lang w:val="en-GB"/>
              </w:rPr>
              <w:t>CG</w:t>
            </w:r>
            <w:r w:rsidRPr="005B36C8">
              <w:rPr>
                <w:rFonts w:ascii="Arial" w:hAnsi="Arial" w:cs="Arial"/>
                <w:sz w:val="20"/>
                <w:szCs w:val="20"/>
                <w:lang w:val="en-GB"/>
              </w:rPr>
              <w:t>TCTTTC</w:t>
            </w:r>
          </w:p>
        </w:tc>
        <w:tc>
          <w:tcPr>
            <w:tcW w:w="1405" w:type="pct"/>
            <w:vMerge w:val="restart"/>
            <w:tcBorders>
              <w:top w:val="single" w:sz="4" w:space="0" w:color="auto"/>
              <w:bottom w:val="single" w:sz="4" w:space="0" w:color="auto"/>
            </w:tcBorders>
            <w:vAlign w:val="center"/>
          </w:tcPr>
          <w:p w14:paraId="7C209D49" w14:textId="6FC2446E"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Primers for the introduction of A756R mutation in the SpDis3L2 gene.</w:t>
            </w:r>
          </w:p>
        </w:tc>
      </w:tr>
      <w:tr w:rsidR="00F71B9B" w:rsidRPr="005B36C8" w14:paraId="311B280B" w14:textId="77777777" w:rsidTr="004F779B">
        <w:tc>
          <w:tcPr>
            <w:tcW w:w="860" w:type="pct"/>
            <w:tcBorders>
              <w:top w:val="single" w:sz="4" w:space="0" w:color="auto"/>
              <w:bottom w:val="single" w:sz="4" w:space="0" w:color="auto"/>
            </w:tcBorders>
          </w:tcPr>
          <w:p w14:paraId="73207642" w14:textId="0AC8326A"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A756R_Rev</w:t>
            </w:r>
          </w:p>
        </w:tc>
        <w:tc>
          <w:tcPr>
            <w:tcW w:w="2735" w:type="pct"/>
            <w:tcBorders>
              <w:top w:val="single" w:sz="4" w:space="0" w:color="auto"/>
              <w:bottom w:val="single" w:sz="4" w:space="0" w:color="auto"/>
            </w:tcBorders>
          </w:tcPr>
          <w:p w14:paraId="3F65B24B" w14:textId="3D42C920"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GAAAGA</w:t>
            </w:r>
            <w:r w:rsidRPr="005B36C8">
              <w:rPr>
                <w:rFonts w:ascii="Arial" w:hAnsi="Arial" w:cs="Arial"/>
                <w:sz w:val="20"/>
                <w:szCs w:val="20"/>
                <w:u w:val="single"/>
                <w:lang w:val="en-GB"/>
              </w:rPr>
              <w:t>CG</w:t>
            </w:r>
            <w:r w:rsidRPr="005B36C8">
              <w:rPr>
                <w:rFonts w:ascii="Arial" w:hAnsi="Arial" w:cs="Arial"/>
                <w:sz w:val="20"/>
                <w:szCs w:val="20"/>
                <w:lang w:val="en-GB"/>
              </w:rPr>
              <w:t>GTAATGGTGCCAGTCTGT</w:t>
            </w:r>
            <w:r w:rsidRPr="005B36C8">
              <w:rPr>
                <w:rFonts w:ascii="Arial" w:hAnsi="Arial" w:cs="Arial"/>
                <w:sz w:val="20"/>
                <w:szCs w:val="20"/>
                <w:u w:val="single"/>
                <w:lang w:val="en-GB"/>
              </w:rPr>
              <w:t>C</w:t>
            </w:r>
            <w:r w:rsidRPr="005B36C8">
              <w:rPr>
                <w:rFonts w:ascii="Arial" w:hAnsi="Arial" w:cs="Arial"/>
                <w:sz w:val="20"/>
                <w:szCs w:val="20"/>
                <w:lang w:val="en-GB"/>
              </w:rPr>
              <w:t>TTCTCAC</w:t>
            </w:r>
          </w:p>
        </w:tc>
        <w:tc>
          <w:tcPr>
            <w:tcW w:w="1405" w:type="pct"/>
            <w:vMerge/>
            <w:tcBorders>
              <w:top w:val="single" w:sz="4" w:space="0" w:color="auto"/>
              <w:bottom w:val="single" w:sz="4" w:space="0" w:color="auto"/>
            </w:tcBorders>
            <w:vAlign w:val="center"/>
          </w:tcPr>
          <w:p w14:paraId="3B75CBE0" w14:textId="77777777" w:rsidR="00F71B9B" w:rsidRPr="005B36C8" w:rsidRDefault="00F71B9B" w:rsidP="00F71B9B">
            <w:pPr>
              <w:rPr>
                <w:rFonts w:ascii="Arial" w:hAnsi="Arial" w:cs="Arial"/>
                <w:sz w:val="20"/>
                <w:szCs w:val="20"/>
                <w:lang w:val="en-GB"/>
              </w:rPr>
            </w:pPr>
          </w:p>
        </w:tc>
      </w:tr>
    </w:tbl>
    <w:p w14:paraId="53F49501" w14:textId="77777777" w:rsidR="00BA1DAE" w:rsidRPr="005B36C8" w:rsidRDefault="00BA1DAE" w:rsidP="00BA1DAE">
      <w:pPr>
        <w:rPr>
          <w:rFonts w:ascii="Arial" w:hAnsi="Arial" w:cs="Arial"/>
          <w:sz w:val="18"/>
          <w:szCs w:val="18"/>
        </w:rPr>
      </w:pPr>
      <w:r w:rsidRPr="005B36C8">
        <w:rPr>
          <w:rFonts w:ascii="Arial" w:hAnsi="Arial" w:cs="Arial"/>
          <w:sz w:val="18"/>
          <w:szCs w:val="18"/>
        </w:rPr>
        <w:t>The bases that were changed are underlined.</w:t>
      </w:r>
    </w:p>
    <w:p w14:paraId="5EB4B907" w14:textId="77777777" w:rsidR="00BA1DAE" w:rsidRPr="005B36C8" w:rsidRDefault="00BA1DAE" w:rsidP="00BA1DAE">
      <w:pPr>
        <w:rPr>
          <w:rFonts w:ascii="Arial" w:hAnsi="Arial" w:cs="Arial"/>
          <w:sz w:val="18"/>
          <w:szCs w:val="18"/>
        </w:rPr>
      </w:pPr>
    </w:p>
    <w:p w14:paraId="562B3B00" w14:textId="1A4E9E53" w:rsidR="00BA1DAE" w:rsidRPr="005B36C8" w:rsidRDefault="00BA1DAE" w:rsidP="00BA1DAE">
      <w:pPr>
        <w:rPr>
          <w:rFonts w:ascii="Arial" w:hAnsi="Arial" w:cs="Arial"/>
          <w:sz w:val="20"/>
          <w:szCs w:val="20"/>
        </w:rPr>
      </w:pPr>
    </w:p>
    <w:p w14:paraId="538359B2" w14:textId="72A96C14" w:rsidR="00BA1DAE" w:rsidRPr="005B36C8" w:rsidRDefault="00BA1DAE" w:rsidP="00BA1DAE">
      <w:pPr>
        <w:rPr>
          <w:rFonts w:ascii="Arial" w:hAnsi="Arial" w:cs="Arial"/>
          <w:sz w:val="20"/>
          <w:szCs w:val="20"/>
        </w:rPr>
      </w:pPr>
      <w:bookmarkStart w:id="0" w:name="_Toc90474879"/>
      <w:r w:rsidRPr="005B36C8">
        <w:rPr>
          <w:rFonts w:ascii="Arial" w:hAnsi="Arial" w:cs="Arial"/>
          <w:b/>
          <w:bCs/>
          <w:sz w:val="20"/>
          <w:szCs w:val="20"/>
        </w:rPr>
        <w:t>Table S2.</w:t>
      </w:r>
      <w:r w:rsidRPr="005B36C8">
        <w:rPr>
          <w:rFonts w:ascii="Arial" w:hAnsi="Arial" w:cs="Arial"/>
          <w:sz w:val="20"/>
          <w:szCs w:val="20"/>
        </w:rPr>
        <w:t xml:space="preserve"> Plasmids used in this study.</w:t>
      </w:r>
      <w:bookmarkEnd w:id="0"/>
    </w:p>
    <w:tbl>
      <w:tblPr>
        <w:tblStyle w:val="TableGrid"/>
        <w:tblpPr w:leftFromText="141" w:rightFromText="141" w:vertAnchor="text" w:horzAnchor="margin" w:tblpY="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28" w:type="dxa"/>
          <w:bottom w:w="57" w:type="dxa"/>
          <w:right w:w="28" w:type="dxa"/>
        </w:tblCellMar>
        <w:tblLook w:val="04A0" w:firstRow="1" w:lastRow="0" w:firstColumn="1" w:lastColumn="0" w:noHBand="0" w:noVBand="1"/>
      </w:tblPr>
      <w:tblGrid>
        <w:gridCol w:w="1843"/>
        <w:gridCol w:w="992"/>
        <w:gridCol w:w="879"/>
        <w:gridCol w:w="5356"/>
      </w:tblGrid>
      <w:tr w:rsidR="00BA1DAE" w:rsidRPr="005B36C8" w14:paraId="2EF3E9C8" w14:textId="77777777" w:rsidTr="00DC0EF8">
        <w:tc>
          <w:tcPr>
            <w:tcW w:w="1843" w:type="dxa"/>
            <w:tcBorders>
              <w:top w:val="single" w:sz="8" w:space="0" w:color="auto"/>
              <w:bottom w:val="single" w:sz="8" w:space="0" w:color="auto"/>
            </w:tcBorders>
            <w:vAlign w:val="center"/>
          </w:tcPr>
          <w:p w14:paraId="7114F4AD" w14:textId="77777777" w:rsidR="00BA1DAE" w:rsidRPr="005B36C8" w:rsidRDefault="00BA1DAE" w:rsidP="00DC0EF8">
            <w:pPr>
              <w:rPr>
                <w:rFonts w:ascii="Arial" w:hAnsi="Arial" w:cs="Arial"/>
                <w:b/>
                <w:bCs/>
                <w:sz w:val="20"/>
                <w:szCs w:val="20"/>
                <w:lang w:val="en-GB"/>
              </w:rPr>
            </w:pPr>
            <w:r w:rsidRPr="005B36C8">
              <w:rPr>
                <w:rFonts w:ascii="Arial" w:hAnsi="Arial" w:cs="Arial"/>
                <w:b/>
                <w:bCs/>
                <w:sz w:val="20"/>
                <w:szCs w:val="20"/>
                <w:lang w:val="en-GB"/>
              </w:rPr>
              <w:t>Plasmid Name</w:t>
            </w:r>
          </w:p>
        </w:tc>
        <w:tc>
          <w:tcPr>
            <w:tcW w:w="992" w:type="dxa"/>
            <w:tcBorders>
              <w:top w:val="single" w:sz="8" w:space="0" w:color="auto"/>
              <w:bottom w:val="single" w:sz="8" w:space="0" w:color="auto"/>
            </w:tcBorders>
          </w:tcPr>
          <w:p w14:paraId="4BFB8A15" w14:textId="77777777" w:rsidR="00BA1DAE" w:rsidRPr="005B36C8" w:rsidRDefault="00BA1DAE" w:rsidP="00DC0EF8">
            <w:pPr>
              <w:jc w:val="center"/>
              <w:rPr>
                <w:rFonts w:ascii="Arial" w:hAnsi="Arial" w:cs="Arial"/>
                <w:b/>
                <w:bCs/>
                <w:sz w:val="20"/>
                <w:szCs w:val="20"/>
                <w:lang w:val="en-GB"/>
              </w:rPr>
            </w:pPr>
            <w:r w:rsidRPr="005B36C8">
              <w:rPr>
                <w:rFonts w:ascii="Arial" w:hAnsi="Arial" w:cs="Arial"/>
                <w:b/>
                <w:bCs/>
                <w:sz w:val="20"/>
                <w:szCs w:val="20"/>
                <w:lang w:val="en-GB"/>
              </w:rPr>
              <w:t>Source</w:t>
            </w:r>
          </w:p>
        </w:tc>
        <w:tc>
          <w:tcPr>
            <w:tcW w:w="879" w:type="dxa"/>
            <w:tcBorders>
              <w:top w:val="single" w:sz="8" w:space="0" w:color="auto"/>
              <w:bottom w:val="single" w:sz="8" w:space="0" w:color="auto"/>
            </w:tcBorders>
          </w:tcPr>
          <w:p w14:paraId="0BED1D93" w14:textId="77777777" w:rsidR="00BA1DAE" w:rsidRPr="005B36C8" w:rsidRDefault="00BA1DAE" w:rsidP="00DC0EF8">
            <w:pPr>
              <w:jc w:val="center"/>
              <w:rPr>
                <w:rFonts w:ascii="Arial" w:hAnsi="Arial" w:cs="Arial"/>
                <w:b/>
                <w:bCs/>
                <w:sz w:val="20"/>
                <w:szCs w:val="20"/>
                <w:lang w:val="en-GB"/>
              </w:rPr>
            </w:pPr>
            <w:r w:rsidRPr="005B36C8">
              <w:rPr>
                <w:rFonts w:ascii="Arial" w:hAnsi="Arial" w:cs="Arial"/>
                <w:b/>
                <w:bCs/>
                <w:sz w:val="20"/>
                <w:szCs w:val="20"/>
                <w:lang w:val="en-GB"/>
              </w:rPr>
              <w:t>Marker</w:t>
            </w:r>
          </w:p>
        </w:tc>
        <w:tc>
          <w:tcPr>
            <w:tcW w:w="5356" w:type="dxa"/>
            <w:tcBorders>
              <w:top w:val="single" w:sz="8" w:space="0" w:color="auto"/>
              <w:bottom w:val="single" w:sz="8" w:space="0" w:color="auto"/>
            </w:tcBorders>
            <w:vAlign w:val="center"/>
          </w:tcPr>
          <w:p w14:paraId="229450FE" w14:textId="77777777" w:rsidR="00BA1DAE" w:rsidRPr="005B36C8" w:rsidRDefault="00BA1DAE" w:rsidP="00DC0EF8">
            <w:pPr>
              <w:rPr>
                <w:rFonts w:ascii="Arial" w:hAnsi="Arial" w:cs="Arial"/>
                <w:b/>
                <w:bCs/>
                <w:sz w:val="20"/>
                <w:szCs w:val="20"/>
                <w:lang w:val="en-GB"/>
              </w:rPr>
            </w:pPr>
            <w:r w:rsidRPr="005B36C8">
              <w:rPr>
                <w:rFonts w:ascii="Arial" w:hAnsi="Arial" w:cs="Arial"/>
                <w:b/>
                <w:bCs/>
                <w:sz w:val="20"/>
                <w:szCs w:val="20"/>
                <w:lang w:val="en-GB"/>
              </w:rPr>
              <w:t>Observations</w:t>
            </w:r>
          </w:p>
        </w:tc>
      </w:tr>
      <w:tr w:rsidR="00BA1DAE" w:rsidRPr="005B36C8" w14:paraId="3A436368" w14:textId="77777777" w:rsidTr="00DC0EF8">
        <w:tc>
          <w:tcPr>
            <w:tcW w:w="1843" w:type="dxa"/>
            <w:tcBorders>
              <w:top w:val="single" w:sz="8" w:space="0" w:color="auto"/>
              <w:bottom w:val="single" w:sz="4" w:space="0" w:color="auto"/>
            </w:tcBorders>
          </w:tcPr>
          <w:p w14:paraId="5E5C5866"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pGEX-4T-1</w:t>
            </w:r>
          </w:p>
          <w:p w14:paraId="17B82A7B"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_SpDis3L2_WT</w:t>
            </w:r>
          </w:p>
        </w:tc>
        <w:tc>
          <w:tcPr>
            <w:tcW w:w="992" w:type="dxa"/>
            <w:tcBorders>
              <w:top w:val="single" w:sz="8" w:space="0" w:color="auto"/>
              <w:bottom w:val="single" w:sz="4" w:space="0" w:color="auto"/>
            </w:tcBorders>
          </w:tcPr>
          <w:p w14:paraId="0F4279F7" w14:textId="12D42E08" w:rsidR="00BA1DAE" w:rsidRPr="005B36C8" w:rsidRDefault="00000000" w:rsidP="00DC0EF8">
            <w:pPr>
              <w:jc w:val="center"/>
              <w:rPr>
                <w:rFonts w:ascii="Arial" w:hAnsi="Arial" w:cs="Arial"/>
                <w:sz w:val="20"/>
                <w:szCs w:val="20"/>
                <w:lang w:val="en-GB"/>
              </w:rPr>
            </w:pPr>
            <w:sdt>
              <w:sdtPr>
                <w:rPr>
                  <w:rFonts w:ascii="Arial" w:hAnsi="Arial" w:cs="Arial"/>
                  <w:color w:val="000000"/>
                  <w:sz w:val="20"/>
                  <w:szCs w:val="20"/>
                </w:rPr>
                <w:tag w:val="MENDELEY_CITATION_v3_eyJjaXRhdGlvbklEIjoiTUVOREVMRVlfQ0lUQVRJT05fODI2MTNlMDUtZGUyZS00ZTVlLThkMDUtZWNjYWM3OWYzODY1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
                <w:id w:val="775066299"/>
                <w:placeholder>
                  <w:docPart w:val="102DD55D5B814468954ACCA87B3F1B29"/>
                </w:placeholder>
              </w:sdtPr>
              <w:sdtContent>
                <w:r w:rsidR="009823D2" w:rsidRPr="009823D2">
                  <w:rPr>
                    <w:rFonts w:ascii="Arial" w:hAnsi="Arial" w:cs="Arial"/>
                    <w:color w:val="000000"/>
                    <w:sz w:val="20"/>
                    <w:szCs w:val="20"/>
                    <w:lang w:val="en-GB"/>
                  </w:rPr>
                  <w:t>(Malecki et al., 2013)</w:t>
                </w:r>
              </w:sdtContent>
            </w:sdt>
          </w:p>
        </w:tc>
        <w:tc>
          <w:tcPr>
            <w:tcW w:w="879" w:type="dxa"/>
            <w:tcBorders>
              <w:top w:val="single" w:sz="8" w:space="0" w:color="auto"/>
              <w:bottom w:val="single" w:sz="4" w:space="0" w:color="auto"/>
            </w:tcBorders>
          </w:tcPr>
          <w:p w14:paraId="044DC4F0" w14:textId="77777777" w:rsidR="00BA1DAE" w:rsidRPr="005B36C8" w:rsidRDefault="00BA1DAE" w:rsidP="00DC0EF8">
            <w:pPr>
              <w:jc w:val="center"/>
              <w:rPr>
                <w:rFonts w:ascii="Arial" w:hAnsi="Arial" w:cs="Arial"/>
                <w:sz w:val="20"/>
                <w:szCs w:val="20"/>
                <w:lang w:val="en-GB"/>
              </w:rPr>
            </w:pPr>
            <w:proofErr w:type="spellStart"/>
            <w:r w:rsidRPr="005B36C8">
              <w:rPr>
                <w:rFonts w:ascii="Arial" w:hAnsi="Arial" w:cs="Arial"/>
                <w:sz w:val="20"/>
                <w:szCs w:val="20"/>
                <w:lang w:val="en-GB"/>
              </w:rPr>
              <w:t>Amp</w:t>
            </w:r>
            <w:r w:rsidRPr="005B36C8">
              <w:rPr>
                <w:rFonts w:ascii="Arial" w:hAnsi="Arial" w:cs="Arial"/>
                <w:sz w:val="20"/>
                <w:szCs w:val="20"/>
                <w:vertAlign w:val="superscript"/>
                <w:lang w:val="en-GB"/>
              </w:rPr>
              <w:t>R</w:t>
            </w:r>
            <w:proofErr w:type="spellEnd"/>
          </w:p>
        </w:tc>
        <w:tc>
          <w:tcPr>
            <w:tcW w:w="5356" w:type="dxa"/>
            <w:tcBorders>
              <w:top w:val="single" w:sz="8" w:space="0" w:color="auto"/>
              <w:bottom w:val="single" w:sz="4" w:space="0" w:color="auto"/>
            </w:tcBorders>
          </w:tcPr>
          <w:p w14:paraId="3688D440"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Encodes wild-type full-length SpDis3L2 with a GST tag.</w:t>
            </w:r>
          </w:p>
        </w:tc>
      </w:tr>
      <w:tr w:rsidR="00BA1DAE" w:rsidRPr="005B36C8" w14:paraId="5D5E030A" w14:textId="77777777" w:rsidTr="00DC0EF8">
        <w:tc>
          <w:tcPr>
            <w:tcW w:w="1843" w:type="dxa"/>
            <w:tcBorders>
              <w:top w:val="single" w:sz="8" w:space="0" w:color="auto"/>
              <w:bottom w:val="single" w:sz="4" w:space="0" w:color="auto"/>
            </w:tcBorders>
          </w:tcPr>
          <w:p w14:paraId="4649638C"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pGEX-4T-1</w:t>
            </w:r>
          </w:p>
          <w:p w14:paraId="087CD8BD"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_SpDis3L2_D461N</w:t>
            </w:r>
          </w:p>
        </w:tc>
        <w:tc>
          <w:tcPr>
            <w:tcW w:w="992" w:type="dxa"/>
            <w:tcBorders>
              <w:top w:val="single" w:sz="8" w:space="0" w:color="auto"/>
              <w:bottom w:val="single" w:sz="4" w:space="0" w:color="auto"/>
            </w:tcBorders>
          </w:tcPr>
          <w:p w14:paraId="38938D32" w14:textId="1204AD03" w:rsidR="00BA1DAE" w:rsidRPr="005B36C8" w:rsidRDefault="00000000" w:rsidP="00DC0EF8">
            <w:pPr>
              <w:jc w:val="center"/>
              <w:rPr>
                <w:rFonts w:ascii="Arial" w:hAnsi="Arial" w:cs="Arial"/>
                <w:sz w:val="20"/>
                <w:szCs w:val="20"/>
                <w:lang w:val="en-GB"/>
              </w:rPr>
            </w:pPr>
            <w:sdt>
              <w:sdtPr>
                <w:rPr>
                  <w:rFonts w:ascii="Arial" w:hAnsi="Arial" w:cs="Arial"/>
                  <w:color w:val="000000"/>
                  <w:sz w:val="20"/>
                  <w:szCs w:val="20"/>
                </w:rPr>
                <w:tag w:val="MENDELEY_CITATION_v3_eyJjaXRhdGlvbklEIjoiTUVOREVMRVlfQ0lUQVRJT05fOWEzZGQ4ZDItOWQzNC00NzFlLWFkZTYtMjQwNzJhOGIxNmJk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
                <w:id w:val="1759789445"/>
                <w:placeholder>
                  <w:docPart w:val="421BA8C76B97453AABA3EE870A2D2CFF"/>
                </w:placeholder>
              </w:sdtPr>
              <w:sdtContent>
                <w:r w:rsidR="009823D2" w:rsidRPr="009823D2">
                  <w:rPr>
                    <w:rFonts w:ascii="Arial" w:hAnsi="Arial" w:cs="Arial"/>
                    <w:color w:val="000000"/>
                    <w:sz w:val="20"/>
                    <w:szCs w:val="20"/>
                    <w:lang w:val="en-GB"/>
                  </w:rPr>
                  <w:t>(Malecki et al., 2013)</w:t>
                </w:r>
              </w:sdtContent>
            </w:sdt>
          </w:p>
        </w:tc>
        <w:tc>
          <w:tcPr>
            <w:tcW w:w="879" w:type="dxa"/>
            <w:tcBorders>
              <w:top w:val="single" w:sz="8" w:space="0" w:color="auto"/>
              <w:bottom w:val="single" w:sz="4" w:space="0" w:color="auto"/>
            </w:tcBorders>
          </w:tcPr>
          <w:p w14:paraId="0F9C9C65" w14:textId="77777777" w:rsidR="00BA1DAE" w:rsidRPr="005B36C8" w:rsidRDefault="00BA1DAE" w:rsidP="00DC0EF8">
            <w:pPr>
              <w:jc w:val="center"/>
              <w:rPr>
                <w:rFonts w:ascii="Arial" w:hAnsi="Arial" w:cs="Arial"/>
                <w:sz w:val="20"/>
                <w:szCs w:val="20"/>
                <w:lang w:val="en-GB"/>
              </w:rPr>
            </w:pPr>
            <w:proofErr w:type="spellStart"/>
            <w:r w:rsidRPr="005B36C8">
              <w:rPr>
                <w:rFonts w:ascii="Arial" w:hAnsi="Arial" w:cs="Arial"/>
                <w:sz w:val="20"/>
                <w:szCs w:val="20"/>
                <w:lang w:val="en-GB"/>
              </w:rPr>
              <w:t>Amp</w:t>
            </w:r>
            <w:r w:rsidRPr="005B36C8">
              <w:rPr>
                <w:rFonts w:ascii="Arial" w:hAnsi="Arial" w:cs="Arial"/>
                <w:sz w:val="20"/>
                <w:szCs w:val="20"/>
                <w:vertAlign w:val="superscript"/>
                <w:lang w:val="en-GB"/>
              </w:rPr>
              <w:t>R</w:t>
            </w:r>
            <w:proofErr w:type="spellEnd"/>
          </w:p>
        </w:tc>
        <w:tc>
          <w:tcPr>
            <w:tcW w:w="5356" w:type="dxa"/>
            <w:tcBorders>
              <w:top w:val="single" w:sz="8" w:space="0" w:color="auto"/>
              <w:bottom w:val="single" w:sz="4" w:space="0" w:color="auto"/>
            </w:tcBorders>
          </w:tcPr>
          <w:p w14:paraId="06289162"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Encodes a mutant full-length SpDis3L2 with a GST tag, where aspartic acid (D) at position 461 was substituted by an asparagine (N) (catalytically dead mutant).</w:t>
            </w:r>
          </w:p>
        </w:tc>
      </w:tr>
      <w:tr w:rsidR="00BA1DAE" w:rsidRPr="005B36C8" w14:paraId="3FF9D316" w14:textId="77777777" w:rsidTr="00DC0EF8">
        <w:tc>
          <w:tcPr>
            <w:tcW w:w="1843" w:type="dxa"/>
            <w:tcBorders>
              <w:top w:val="single" w:sz="8" w:space="0" w:color="auto"/>
              <w:bottom w:val="single" w:sz="4" w:space="0" w:color="auto"/>
            </w:tcBorders>
          </w:tcPr>
          <w:p w14:paraId="7AA77770"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pQlinkH_SpDis3L2</w:t>
            </w:r>
          </w:p>
          <w:p w14:paraId="059DF79B"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_ΔN168_D461N</w:t>
            </w:r>
          </w:p>
        </w:tc>
        <w:tc>
          <w:tcPr>
            <w:tcW w:w="992" w:type="dxa"/>
            <w:tcBorders>
              <w:top w:val="single" w:sz="8" w:space="0" w:color="auto"/>
              <w:bottom w:val="single" w:sz="4" w:space="0" w:color="auto"/>
            </w:tcBorders>
          </w:tcPr>
          <w:p w14:paraId="1830A8C9" w14:textId="77777777" w:rsidR="00BA1DAE" w:rsidRPr="005B36C8" w:rsidRDefault="00BA1DAE" w:rsidP="00DC0EF8">
            <w:pPr>
              <w:jc w:val="center"/>
              <w:rPr>
                <w:rFonts w:ascii="Arial" w:hAnsi="Arial" w:cs="Arial"/>
                <w:sz w:val="20"/>
                <w:szCs w:val="20"/>
                <w:lang w:val="en-GB"/>
              </w:rPr>
            </w:pPr>
            <w:r w:rsidRPr="005B36C8">
              <w:rPr>
                <w:rFonts w:ascii="Arial" w:hAnsi="Arial" w:cs="Arial"/>
                <w:sz w:val="20"/>
                <w:szCs w:val="20"/>
                <w:lang w:val="en-GB"/>
              </w:rPr>
              <w:t xml:space="preserve">This study </w:t>
            </w:r>
          </w:p>
        </w:tc>
        <w:tc>
          <w:tcPr>
            <w:tcW w:w="879" w:type="dxa"/>
            <w:tcBorders>
              <w:top w:val="single" w:sz="8" w:space="0" w:color="auto"/>
              <w:bottom w:val="single" w:sz="4" w:space="0" w:color="auto"/>
            </w:tcBorders>
          </w:tcPr>
          <w:p w14:paraId="1DC7F8B2" w14:textId="77777777" w:rsidR="00BA1DAE" w:rsidRPr="005B36C8" w:rsidRDefault="00BA1DAE" w:rsidP="00DC0EF8">
            <w:pPr>
              <w:jc w:val="center"/>
              <w:rPr>
                <w:rFonts w:ascii="Arial" w:hAnsi="Arial" w:cs="Arial"/>
                <w:sz w:val="20"/>
                <w:szCs w:val="20"/>
                <w:lang w:val="en-GB"/>
              </w:rPr>
            </w:pPr>
            <w:proofErr w:type="spellStart"/>
            <w:r w:rsidRPr="005B36C8">
              <w:rPr>
                <w:rFonts w:ascii="Arial" w:hAnsi="Arial" w:cs="Arial"/>
                <w:sz w:val="20"/>
                <w:szCs w:val="20"/>
                <w:lang w:val="en-GB"/>
              </w:rPr>
              <w:t>Amp</w:t>
            </w:r>
            <w:r w:rsidRPr="005B36C8">
              <w:rPr>
                <w:rFonts w:ascii="Arial" w:hAnsi="Arial" w:cs="Arial"/>
                <w:sz w:val="20"/>
                <w:szCs w:val="20"/>
                <w:vertAlign w:val="superscript"/>
                <w:lang w:val="en-GB"/>
              </w:rPr>
              <w:t>R</w:t>
            </w:r>
            <w:proofErr w:type="spellEnd"/>
          </w:p>
        </w:tc>
        <w:tc>
          <w:tcPr>
            <w:tcW w:w="5356" w:type="dxa"/>
            <w:tcBorders>
              <w:top w:val="single" w:sz="8" w:space="0" w:color="auto"/>
              <w:bottom w:val="single" w:sz="4" w:space="0" w:color="auto"/>
            </w:tcBorders>
          </w:tcPr>
          <w:p w14:paraId="1B9C77B1"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 xml:space="preserve">Encodes a mutant SpDis3L2, where aspartic acid (D) </w:t>
            </w:r>
          </w:p>
          <w:p w14:paraId="5CA88F86" w14:textId="2474CF20"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 xml:space="preserve">at position 461 was substituted by an asparagine (N) (catalytically dead mutant) </w:t>
            </w:r>
            <w:sdt>
              <w:sdtPr>
                <w:rPr>
                  <w:rFonts w:ascii="Arial" w:hAnsi="Arial" w:cs="Arial"/>
                  <w:color w:val="000000"/>
                  <w:sz w:val="20"/>
                  <w:szCs w:val="20"/>
                </w:rPr>
                <w:tag w:val="MENDELEY_CITATION_v3_eyJjaXRhdGlvbklEIjoiTUVOREVMRVlfQ0lUQVRJT05fNGRlOWQ3ZWUtMmVjMi00ZjMwLWE4MzEtZmRlOGYyM2Q4ZDgx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
                <w:id w:val="-1433973205"/>
                <w:placeholder>
                  <w:docPart w:val="5E88C625751F4707B578B9D36F759A10"/>
                </w:placeholder>
              </w:sdtPr>
              <w:sdtContent>
                <w:r w:rsidR="009823D2" w:rsidRPr="009823D2">
                  <w:rPr>
                    <w:rFonts w:ascii="Arial" w:hAnsi="Arial" w:cs="Arial"/>
                    <w:color w:val="000000"/>
                    <w:sz w:val="20"/>
                    <w:szCs w:val="20"/>
                    <w:lang w:val="en-GB"/>
                  </w:rPr>
                  <w:t>(Malecki et al., 2013)</w:t>
                </w:r>
              </w:sdtContent>
            </w:sdt>
            <w:r w:rsidRPr="005B36C8">
              <w:rPr>
                <w:rFonts w:ascii="Arial" w:hAnsi="Arial" w:cs="Arial"/>
                <w:sz w:val="20"/>
                <w:szCs w:val="20"/>
                <w:lang w:val="en-GB"/>
              </w:rPr>
              <w:t xml:space="preserve">. </w:t>
            </w:r>
          </w:p>
          <w:p w14:paraId="4996F9CC" w14:textId="77777777" w:rsidR="00BA1DAE" w:rsidRPr="005B36C8" w:rsidRDefault="00BA1DAE" w:rsidP="00DC0EF8">
            <w:pPr>
              <w:rPr>
                <w:rFonts w:ascii="Arial" w:hAnsi="Arial" w:cs="Arial"/>
                <w:sz w:val="20"/>
                <w:szCs w:val="20"/>
                <w:highlight w:val="cyan"/>
                <w:lang w:val="en-GB"/>
              </w:rPr>
            </w:pPr>
            <w:r w:rsidRPr="005B36C8">
              <w:rPr>
                <w:rFonts w:ascii="Arial" w:hAnsi="Arial" w:cs="Arial"/>
                <w:sz w:val="20"/>
                <w:szCs w:val="20"/>
                <w:lang w:val="en-GB"/>
              </w:rPr>
              <w:t xml:space="preserve">The gene has a ΔN168 N-terminal truncation, a N-terminal TEV cleavable 7xHis tag, and a C-terminal extra </w:t>
            </w:r>
            <w:proofErr w:type="spellStart"/>
            <w:r w:rsidRPr="005B36C8">
              <w:rPr>
                <w:rFonts w:ascii="Arial" w:hAnsi="Arial" w:cs="Arial"/>
                <w:sz w:val="20"/>
                <w:szCs w:val="20"/>
                <w:lang w:val="en-GB"/>
              </w:rPr>
              <w:t>Asn</w:t>
            </w:r>
            <w:proofErr w:type="spellEnd"/>
            <w:r w:rsidRPr="005B36C8">
              <w:rPr>
                <w:rFonts w:ascii="Arial" w:hAnsi="Arial" w:cs="Arial"/>
                <w:sz w:val="20"/>
                <w:szCs w:val="20"/>
                <w:lang w:val="en-GB"/>
              </w:rPr>
              <w:t xml:space="preserve">-Ala-Ala-Ala tag. </w:t>
            </w:r>
          </w:p>
        </w:tc>
      </w:tr>
      <w:tr w:rsidR="00BA1DAE" w:rsidRPr="005B36C8" w14:paraId="5F58B782" w14:textId="77777777" w:rsidTr="00DC0EF8">
        <w:tc>
          <w:tcPr>
            <w:tcW w:w="1843" w:type="dxa"/>
            <w:tcBorders>
              <w:top w:val="single" w:sz="8" w:space="0" w:color="auto"/>
              <w:bottom w:val="single" w:sz="4" w:space="0" w:color="auto"/>
            </w:tcBorders>
          </w:tcPr>
          <w:p w14:paraId="6E23D3DF"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pET15b_SpDis3L2</w:t>
            </w:r>
          </w:p>
          <w:p w14:paraId="6F840CE4"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_WT</w:t>
            </w:r>
          </w:p>
        </w:tc>
        <w:tc>
          <w:tcPr>
            <w:tcW w:w="992" w:type="dxa"/>
            <w:tcBorders>
              <w:top w:val="single" w:sz="8" w:space="0" w:color="auto"/>
              <w:bottom w:val="single" w:sz="4" w:space="0" w:color="auto"/>
            </w:tcBorders>
          </w:tcPr>
          <w:p w14:paraId="37EF82D6" w14:textId="77777777" w:rsidR="00BA1DAE" w:rsidRPr="005B36C8" w:rsidRDefault="00BA1DAE" w:rsidP="00DC0EF8">
            <w:pPr>
              <w:jc w:val="center"/>
              <w:rPr>
                <w:rFonts w:ascii="Arial" w:hAnsi="Arial" w:cs="Arial"/>
                <w:sz w:val="20"/>
                <w:szCs w:val="20"/>
                <w:lang w:val="en-GB"/>
              </w:rPr>
            </w:pPr>
            <w:r w:rsidRPr="005B36C8">
              <w:rPr>
                <w:rFonts w:ascii="Arial" w:hAnsi="Arial" w:cs="Arial"/>
                <w:sz w:val="20"/>
                <w:szCs w:val="20"/>
                <w:lang w:val="en-GB"/>
              </w:rPr>
              <w:t>This study</w:t>
            </w:r>
          </w:p>
        </w:tc>
        <w:tc>
          <w:tcPr>
            <w:tcW w:w="879" w:type="dxa"/>
            <w:tcBorders>
              <w:top w:val="single" w:sz="8" w:space="0" w:color="auto"/>
              <w:bottom w:val="single" w:sz="4" w:space="0" w:color="auto"/>
            </w:tcBorders>
          </w:tcPr>
          <w:p w14:paraId="7A7B16E4" w14:textId="77777777" w:rsidR="00BA1DAE" w:rsidRPr="005B36C8" w:rsidRDefault="00BA1DAE" w:rsidP="00DC0EF8">
            <w:pPr>
              <w:jc w:val="center"/>
              <w:rPr>
                <w:rFonts w:ascii="Arial" w:hAnsi="Arial" w:cs="Arial"/>
                <w:sz w:val="20"/>
                <w:szCs w:val="20"/>
                <w:lang w:val="en-GB"/>
              </w:rPr>
            </w:pPr>
            <w:proofErr w:type="spellStart"/>
            <w:r w:rsidRPr="005B36C8">
              <w:rPr>
                <w:rFonts w:ascii="Arial" w:hAnsi="Arial" w:cs="Arial"/>
                <w:sz w:val="20"/>
                <w:szCs w:val="20"/>
                <w:lang w:val="en-GB"/>
              </w:rPr>
              <w:t>Amp</w:t>
            </w:r>
            <w:r w:rsidRPr="005B36C8">
              <w:rPr>
                <w:rFonts w:ascii="Arial" w:hAnsi="Arial" w:cs="Arial"/>
                <w:sz w:val="20"/>
                <w:szCs w:val="20"/>
                <w:vertAlign w:val="superscript"/>
                <w:lang w:val="en-GB"/>
              </w:rPr>
              <w:t>R</w:t>
            </w:r>
            <w:proofErr w:type="spellEnd"/>
          </w:p>
        </w:tc>
        <w:tc>
          <w:tcPr>
            <w:tcW w:w="5356" w:type="dxa"/>
            <w:tcBorders>
              <w:top w:val="single" w:sz="8" w:space="0" w:color="auto"/>
              <w:bottom w:val="single" w:sz="4" w:space="0" w:color="auto"/>
            </w:tcBorders>
          </w:tcPr>
          <w:p w14:paraId="5F2A3026" w14:textId="52FEF823"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 xml:space="preserve">Adapted from pGEX-4T-1_GST_SpDis3L2_WT </w:t>
            </w:r>
            <w:sdt>
              <w:sdtPr>
                <w:rPr>
                  <w:rFonts w:ascii="Arial" w:hAnsi="Arial" w:cs="Arial"/>
                  <w:color w:val="000000"/>
                  <w:sz w:val="20"/>
                  <w:szCs w:val="20"/>
                </w:rPr>
                <w:tag w:val="MENDELEY_CITATION_v3_eyJjaXRhdGlvbklEIjoiTUVOREVMRVlfQ0lUQVRJT05fMDBjM2E5N2ItOTNiNS00ODZmLTllMzItMGZhMTg2ZjNjZGE5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
                <w:id w:val="-958493142"/>
                <w:placeholder>
                  <w:docPart w:val="5E88C625751F4707B578B9D36F759A10"/>
                </w:placeholder>
              </w:sdtPr>
              <w:sdtContent>
                <w:r w:rsidR="009823D2" w:rsidRPr="009823D2">
                  <w:rPr>
                    <w:rFonts w:ascii="Arial" w:hAnsi="Arial" w:cs="Arial"/>
                    <w:color w:val="000000"/>
                    <w:sz w:val="20"/>
                    <w:szCs w:val="20"/>
                    <w:lang w:val="en-GB"/>
                  </w:rPr>
                  <w:t>(Malecki et al., 2013)</w:t>
                </w:r>
              </w:sdtContent>
            </w:sdt>
            <w:r w:rsidRPr="005B36C8">
              <w:rPr>
                <w:rFonts w:ascii="Arial" w:hAnsi="Arial" w:cs="Arial"/>
                <w:sz w:val="20"/>
                <w:szCs w:val="20"/>
                <w:lang w:val="en-GB"/>
              </w:rPr>
              <w:t>;</w:t>
            </w:r>
          </w:p>
          <w:p w14:paraId="7085FD70"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encodes wild-type full-length SpDis3L2 with a N-terminal His-SUMO tag (6xHis-SpDis3L2).</w:t>
            </w:r>
          </w:p>
        </w:tc>
      </w:tr>
      <w:tr w:rsidR="00BA1DAE" w:rsidRPr="005B36C8" w14:paraId="428B4455" w14:textId="77777777" w:rsidTr="00DC0EF8">
        <w:tc>
          <w:tcPr>
            <w:tcW w:w="1843" w:type="dxa"/>
            <w:tcBorders>
              <w:top w:val="single" w:sz="4" w:space="0" w:color="auto"/>
              <w:bottom w:val="single" w:sz="4" w:space="0" w:color="auto"/>
            </w:tcBorders>
          </w:tcPr>
          <w:p w14:paraId="203B6512"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pET15b_SpDis3L2</w:t>
            </w:r>
          </w:p>
          <w:p w14:paraId="21A12E8B"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_C560Y</w:t>
            </w:r>
          </w:p>
        </w:tc>
        <w:tc>
          <w:tcPr>
            <w:tcW w:w="992" w:type="dxa"/>
            <w:tcBorders>
              <w:top w:val="single" w:sz="4" w:space="0" w:color="auto"/>
              <w:bottom w:val="single" w:sz="4" w:space="0" w:color="auto"/>
            </w:tcBorders>
          </w:tcPr>
          <w:p w14:paraId="3F835D84" w14:textId="77777777" w:rsidR="00BA1DAE" w:rsidRPr="005B36C8" w:rsidRDefault="00BA1DAE" w:rsidP="00DC0EF8">
            <w:pPr>
              <w:jc w:val="center"/>
              <w:rPr>
                <w:rFonts w:ascii="Arial" w:hAnsi="Arial" w:cs="Arial"/>
                <w:sz w:val="20"/>
                <w:szCs w:val="20"/>
                <w:lang w:val="en-GB"/>
              </w:rPr>
            </w:pPr>
            <w:r w:rsidRPr="005B36C8">
              <w:rPr>
                <w:rFonts w:ascii="Arial" w:hAnsi="Arial" w:cs="Arial"/>
                <w:sz w:val="20"/>
                <w:szCs w:val="20"/>
                <w:lang w:val="en-GB"/>
              </w:rPr>
              <w:t>This study</w:t>
            </w:r>
          </w:p>
        </w:tc>
        <w:tc>
          <w:tcPr>
            <w:tcW w:w="879" w:type="dxa"/>
            <w:tcBorders>
              <w:top w:val="single" w:sz="4" w:space="0" w:color="auto"/>
              <w:bottom w:val="single" w:sz="4" w:space="0" w:color="auto"/>
            </w:tcBorders>
          </w:tcPr>
          <w:p w14:paraId="2DA774AF" w14:textId="77777777" w:rsidR="00BA1DAE" w:rsidRPr="005B36C8" w:rsidRDefault="00BA1DAE" w:rsidP="00DC0EF8">
            <w:pPr>
              <w:jc w:val="center"/>
              <w:rPr>
                <w:rFonts w:ascii="Arial" w:hAnsi="Arial" w:cs="Arial"/>
                <w:sz w:val="20"/>
                <w:szCs w:val="20"/>
                <w:lang w:val="en-GB"/>
              </w:rPr>
            </w:pPr>
            <w:proofErr w:type="spellStart"/>
            <w:r w:rsidRPr="005B36C8">
              <w:rPr>
                <w:rFonts w:ascii="Arial" w:hAnsi="Arial" w:cs="Arial"/>
                <w:sz w:val="20"/>
                <w:szCs w:val="20"/>
                <w:lang w:val="en-GB"/>
              </w:rPr>
              <w:t>Amp</w:t>
            </w:r>
            <w:r w:rsidRPr="005B36C8">
              <w:rPr>
                <w:rFonts w:ascii="Arial" w:hAnsi="Arial" w:cs="Arial"/>
                <w:sz w:val="20"/>
                <w:szCs w:val="20"/>
                <w:vertAlign w:val="superscript"/>
                <w:lang w:val="en-GB"/>
              </w:rPr>
              <w:t>R</w:t>
            </w:r>
            <w:proofErr w:type="spellEnd"/>
          </w:p>
        </w:tc>
        <w:tc>
          <w:tcPr>
            <w:tcW w:w="5356" w:type="dxa"/>
            <w:tcBorders>
              <w:top w:val="single" w:sz="4" w:space="0" w:color="auto"/>
              <w:bottom w:val="single" w:sz="4" w:space="0" w:color="auto"/>
            </w:tcBorders>
          </w:tcPr>
          <w:p w14:paraId="0C342E5A"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 xml:space="preserve">Encodes a mutant 6xHis-SpDis3L2, where cysteine (C) </w:t>
            </w:r>
          </w:p>
          <w:p w14:paraId="48E2DED4"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 xml:space="preserve">at position 560 was substituted by a tyrosine (Y). </w:t>
            </w:r>
          </w:p>
        </w:tc>
      </w:tr>
      <w:tr w:rsidR="00F71B9B" w:rsidRPr="005B36C8" w14:paraId="328AE71D" w14:textId="77777777" w:rsidTr="00DC0EF8">
        <w:tc>
          <w:tcPr>
            <w:tcW w:w="1843" w:type="dxa"/>
            <w:tcBorders>
              <w:top w:val="single" w:sz="4" w:space="0" w:color="auto"/>
              <w:bottom w:val="single" w:sz="4" w:space="0" w:color="auto"/>
            </w:tcBorders>
          </w:tcPr>
          <w:p w14:paraId="49C42981" w14:textId="77777777"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pET15b_SpDis3L2</w:t>
            </w:r>
          </w:p>
          <w:p w14:paraId="4E88C376" w14:textId="2B00316A"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_A756R</w:t>
            </w:r>
          </w:p>
        </w:tc>
        <w:tc>
          <w:tcPr>
            <w:tcW w:w="992" w:type="dxa"/>
            <w:tcBorders>
              <w:top w:val="single" w:sz="4" w:space="0" w:color="auto"/>
              <w:bottom w:val="single" w:sz="4" w:space="0" w:color="auto"/>
            </w:tcBorders>
          </w:tcPr>
          <w:p w14:paraId="6FBF55D0" w14:textId="739247DF" w:rsidR="00F71B9B" w:rsidRPr="005B36C8" w:rsidRDefault="00F71B9B" w:rsidP="00DC0EF8">
            <w:pPr>
              <w:jc w:val="center"/>
              <w:rPr>
                <w:rFonts w:ascii="Arial" w:hAnsi="Arial" w:cs="Arial"/>
                <w:sz w:val="20"/>
                <w:szCs w:val="20"/>
                <w:lang w:val="en-GB"/>
              </w:rPr>
            </w:pPr>
            <w:r w:rsidRPr="005B36C8">
              <w:rPr>
                <w:rFonts w:ascii="Arial" w:hAnsi="Arial" w:cs="Arial"/>
                <w:sz w:val="20"/>
                <w:szCs w:val="20"/>
                <w:lang w:val="en-GB"/>
              </w:rPr>
              <w:t>This study</w:t>
            </w:r>
          </w:p>
        </w:tc>
        <w:tc>
          <w:tcPr>
            <w:tcW w:w="879" w:type="dxa"/>
            <w:tcBorders>
              <w:top w:val="single" w:sz="4" w:space="0" w:color="auto"/>
              <w:bottom w:val="single" w:sz="4" w:space="0" w:color="auto"/>
            </w:tcBorders>
          </w:tcPr>
          <w:p w14:paraId="1A4C0580" w14:textId="6F3948AE" w:rsidR="00F71B9B" w:rsidRPr="005B36C8" w:rsidRDefault="00F71B9B" w:rsidP="00DC0EF8">
            <w:pPr>
              <w:jc w:val="center"/>
              <w:rPr>
                <w:rFonts w:ascii="Arial" w:hAnsi="Arial" w:cs="Arial"/>
                <w:sz w:val="20"/>
                <w:szCs w:val="20"/>
                <w:lang w:val="en-GB"/>
              </w:rPr>
            </w:pPr>
            <w:proofErr w:type="spellStart"/>
            <w:r w:rsidRPr="005B36C8">
              <w:rPr>
                <w:rFonts w:ascii="Arial" w:hAnsi="Arial" w:cs="Arial"/>
                <w:sz w:val="20"/>
                <w:szCs w:val="20"/>
                <w:lang w:val="en-GB"/>
              </w:rPr>
              <w:t>Amp</w:t>
            </w:r>
            <w:r w:rsidRPr="005B36C8">
              <w:rPr>
                <w:rFonts w:ascii="Arial" w:hAnsi="Arial" w:cs="Arial"/>
                <w:sz w:val="20"/>
                <w:szCs w:val="20"/>
                <w:vertAlign w:val="superscript"/>
                <w:lang w:val="en-GB"/>
              </w:rPr>
              <w:t>R</w:t>
            </w:r>
            <w:proofErr w:type="spellEnd"/>
          </w:p>
        </w:tc>
        <w:tc>
          <w:tcPr>
            <w:tcW w:w="5356" w:type="dxa"/>
            <w:tcBorders>
              <w:top w:val="single" w:sz="4" w:space="0" w:color="auto"/>
              <w:bottom w:val="single" w:sz="4" w:space="0" w:color="auto"/>
            </w:tcBorders>
          </w:tcPr>
          <w:p w14:paraId="588A0929" w14:textId="1A09A0C3"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 xml:space="preserve">Encodes a mutant 6xHis-SpDis3L2, where alanine (A) </w:t>
            </w:r>
          </w:p>
          <w:p w14:paraId="717BB991" w14:textId="2B89EC5B" w:rsidR="00F71B9B" w:rsidRPr="005B36C8" w:rsidRDefault="00F71B9B" w:rsidP="00F71B9B">
            <w:pPr>
              <w:rPr>
                <w:rFonts w:ascii="Arial" w:hAnsi="Arial" w:cs="Arial"/>
                <w:sz w:val="20"/>
                <w:szCs w:val="20"/>
                <w:lang w:val="en-GB"/>
              </w:rPr>
            </w:pPr>
            <w:r w:rsidRPr="005B36C8">
              <w:rPr>
                <w:rFonts w:ascii="Arial" w:hAnsi="Arial" w:cs="Arial"/>
                <w:sz w:val="20"/>
                <w:szCs w:val="20"/>
                <w:lang w:val="en-GB"/>
              </w:rPr>
              <w:t>at position 756 was substituted by an arginine (R).</w:t>
            </w:r>
          </w:p>
        </w:tc>
      </w:tr>
    </w:tbl>
    <w:p w14:paraId="181DA13C" w14:textId="36CFCD17" w:rsidR="00BA1DAE" w:rsidRPr="005B36C8" w:rsidRDefault="00BA1DAE" w:rsidP="00BA1DAE">
      <w:pPr>
        <w:rPr>
          <w:rFonts w:ascii="Arial" w:hAnsi="Arial" w:cs="Arial"/>
          <w:sz w:val="20"/>
          <w:szCs w:val="20"/>
        </w:rPr>
      </w:pPr>
      <w:proofErr w:type="spellStart"/>
      <w:r w:rsidRPr="005B36C8">
        <w:rPr>
          <w:rFonts w:ascii="Arial" w:hAnsi="Arial" w:cs="Arial"/>
          <w:b/>
          <w:bCs/>
          <w:sz w:val="18"/>
          <w:szCs w:val="18"/>
        </w:rPr>
        <w:t>Amp</w:t>
      </w:r>
      <w:r w:rsidRPr="005B36C8">
        <w:rPr>
          <w:rFonts w:ascii="Arial" w:hAnsi="Arial" w:cs="Arial"/>
          <w:b/>
          <w:bCs/>
          <w:sz w:val="18"/>
          <w:szCs w:val="18"/>
          <w:vertAlign w:val="superscript"/>
        </w:rPr>
        <w:t>R</w:t>
      </w:r>
      <w:proofErr w:type="spellEnd"/>
      <w:r w:rsidRPr="005B36C8">
        <w:rPr>
          <w:rFonts w:ascii="Arial" w:hAnsi="Arial" w:cs="Arial"/>
          <w:sz w:val="18"/>
          <w:szCs w:val="18"/>
        </w:rPr>
        <w:t>: marker of resistance to ampicillin (</w:t>
      </w:r>
      <w:proofErr w:type="spellStart"/>
      <w:r w:rsidRPr="005B36C8">
        <w:rPr>
          <w:rFonts w:ascii="Arial" w:hAnsi="Arial" w:cs="Arial"/>
          <w:i/>
          <w:iCs/>
          <w:sz w:val="18"/>
          <w:szCs w:val="18"/>
        </w:rPr>
        <w:t>bla</w:t>
      </w:r>
      <w:proofErr w:type="spellEnd"/>
      <w:r w:rsidRPr="005B36C8">
        <w:rPr>
          <w:rFonts w:ascii="Arial" w:hAnsi="Arial" w:cs="Arial"/>
          <w:sz w:val="18"/>
          <w:szCs w:val="18"/>
        </w:rPr>
        <w:t xml:space="preserve"> gene encoded in the plasmid)</w:t>
      </w:r>
      <w:r w:rsidRPr="005B36C8">
        <w:rPr>
          <w:rFonts w:ascii="Arial" w:hAnsi="Arial" w:cs="Arial"/>
          <w:sz w:val="20"/>
          <w:szCs w:val="20"/>
        </w:rPr>
        <w:t>.</w:t>
      </w:r>
      <w:r w:rsidRPr="005B36C8">
        <w:rPr>
          <w:rFonts w:ascii="Arial" w:hAnsi="Arial" w:cs="Arial"/>
          <w:sz w:val="20"/>
          <w:szCs w:val="20"/>
        </w:rPr>
        <w:br w:type="page"/>
      </w:r>
    </w:p>
    <w:p w14:paraId="43BF42F4" w14:textId="4302E387" w:rsidR="00BA1DAE" w:rsidRPr="005B36C8" w:rsidRDefault="00BA1DAE" w:rsidP="00BA1DAE">
      <w:pPr>
        <w:jc w:val="both"/>
        <w:rPr>
          <w:rFonts w:ascii="Arial" w:hAnsi="Arial" w:cs="Arial"/>
          <w:sz w:val="20"/>
          <w:szCs w:val="20"/>
        </w:rPr>
      </w:pPr>
      <w:bookmarkStart w:id="1" w:name="_Toc90474880"/>
      <w:r w:rsidRPr="005B36C8">
        <w:rPr>
          <w:rFonts w:ascii="Arial" w:hAnsi="Arial" w:cs="Arial"/>
          <w:b/>
          <w:bCs/>
          <w:sz w:val="20"/>
          <w:szCs w:val="20"/>
        </w:rPr>
        <w:lastRenderedPageBreak/>
        <w:t>Table S3.</w:t>
      </w:r>
      <w:r w:rsidRPr="005B36C8">
        <w:rPr>
          <w:rFonts w:ascii="Arial" w:hAnsi="Arial" w:cs="Arial"/>
          <w:sz w:val="20"/>
          <w:szCs w:val="20"/>
        </w:rPr>
        <w:t xml:space="preserve"> RNA substrates used in this study for the crystallization, and for the exoribonucleolytic and electrophoretic mobility shift assays.</w:t>
      </w:r>
      <w:bookmarkEnd w:id="1"/>
      <w:r w:rsidRPr="005B36C8">
        <w:rPr>
          <w:rFonts w:ascii="Arial" w:hAnsi="Arial" w:cs="Arial"/>
          <w:sz w:val="20"/>
          <w:szCs w:val="20"/>
        </w:rPr>
        <w:t xml:space="preserve"> All RNA substrates are synthetic oligoribonucleotides.</w:t>
      </w:r>
    </w:p>
    <w:tbl>
      <w:tblPr>
        <w:tblStyle w:val="TableGrid"/>
        <w:tblpPr w:leftFromText="141" w:rightFromText="141" w:vertAnchor="text" w:horzAnchor="margin" w:tblpY="1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Pr>
      <w:tblGrid>
        <w:gridCol w:w="2217"/>
        <w:gridCol w:w="2886"/>
        <w:gridCol w:w="3967"/>
      </w:tblGrid>
      <w:tr w:rsidR="00BA1DAE" w:rsidRPr="005B36C8" w14:paraId="7C2F71B0" w14:textId="77777777" w:rsidTr="00DC0EF8">
        <w:tc>
          <w:tcPr>
            <w:tcW w:w="1222" w:type="pct"/>
            <w:tcBorders>
              <w:top w:val="single" w:sz="8" w:space="0" w:color="auto"/>
              <w:bottom w:val="single" w:sz="8" w:space="0" w:color="auto"/>
            </w:tcBorders>
            <w:vAlign w:val="center"/>
          </w:tcPr>
          <w:p w14:paraId="1B786169" w14:textId="77777777" w:rsidR="00BA1DAE" w:rsidRPr="005B36C8" w:rsidRDefault="00BA1DAE" w:rsidP="00DC0EF8">
            <w:pPr>
              <w:rPr>
                <w:rFonts w:ascii="Arial" w:hAnsi="Arial" w:cs="Arial"/>
                <w:b/>
                <w:bCs/>
                <w:sz w:val="20"/>
                <w:szCs w:val="20"/>
                <w:lang w:val="en-GB"/>
              </w:rPr>
            </w:pPr>
            <w:r w:rsidRPr="005B36C8">
              <w:rPr>
                <w:rFonts w:ascii="Arial" w:hAnsi="Arial" w:cs="Arial"/>
                <w:b/>
                <w:bCs/>
                <w:sz w:val="20"/>
                <w:szCs w:val="20"/>
                <w:lang w:val="en-GB"/>
              </w:rPr>
              <w:t>RNA Substrate Name</w:t>
            </w:r>
          </w:p>
        </w:tc>
        <w:tc>
          <w:tcPr>
            <w:tcW w:w="1591" w:type="pct"/>
            <w:tcBorders>
              <w:top w:val="single" w:sz="8" w:space="0" w:color="auto"/>
              <w:bottom w:val="single" w:sz="8" w:space="0" w:color="auto"/>
            </w:tcBorders>
            <w:vAlign w:val="center"/>
          </w:tcPr>
          <w:p w14:paraId="743DB9A8" w14:textId="77777777" w:rsidR="00BA1DAE" w:rsidRPr="005B36C8" w:rsidRDefault="00BA1DAE" w:rsidP="00DC0EF8">
            <w:pPr>
              <w:rPr>
                <w:rFonts w:ascii="Arial" w:hAnsi="Arial" w:cs="Arial"/>
                <w:b/>
                <w:bCs/>
                <w:sz w:val="20"/>
                <w:szCs w:val="20"/>
                <w:lang w:val="en-GB"/>
              </w:rPr>
            </w:pPr>
            <w:r w:rsidRPr="005B36C8">
              <w:rPr>
                <w:rFonts w:ascii="Arial" w:hAnsi="Arial" w:cs="Arial"/>
                <w:b/>
                <w:bCs/>
                <w:sz w:val="20"/>
                <w:szCs w:val="20"/>
                <w:lang w:val="en-GB"/>
              </w:rPr>
              <w:t xml:space="preserve">Sequence 5’ </w:t>
            </w:r>
            <w:r w:rsidRPr="005B36C8">
              <w:rPr>
                <w:rFonts w:ascii="Arial" w:hAnsi="Arial" w:cs="Arial"/>
                <w:b/>
                <w:bCs/>
                <w:sz w:val="20"/>
                <w:szCs w:val="20"/>
                <w:lang w:val="en-GB"/>
              </w:rPr>
              <w:sym w:font="Symbol" w:char="F0AE"/>
            </w:r>
            <w:r w:rsidRPr="005B36C8">
              <w:rPr>
                <w:rFonts w:ascii="Arial" w:hAnsi="Arial" w:cs="Arial"/>
                <w:b/>
                <w:bCs/>
                <w:sz w:val="20"/>
                <w:szCs w:val="20"/>
                <w:lang w:val="en-GB"/>
              </w:rPr>
              <w:t xml:space="preserve"> 3’</w:t>
            </w:r>
          </w:p>
        </w:tc>
        <w:tc>
          <w:tcPr>
            <w:tcW w:w="2187" w:type="pct"/>
            <w:tcBorders>
              <w:top w:val="single" w:sz="8" w:space="0" w:color="auto"/>
              <w:bottom w:val="single" w:sz="8" w:space="0" w:color="auto"/>
            </w:tcBorders>
            <w:vAlign w:val="center"/>
          </w:tcPr>
          <w:p w14:paraId="7F084AED" w14:textId="77777777" w:rsidR="00BA1DAE" w:rsidRPr="005B36C8" w:rsidRDefault="00BA1DAE" w:rsidP="00DC0EF8">
            <w:pPr>
              <w:rPr>
                <w:rFonts w:ascii="Arial" w:hAnsi="Arial" w:cs="Arial"/>
                <w:b/>
                <w:bCs/>
                <w:sz w:val="20"/>
                <w:szCs w:val="20"/>
                <w:lang w:val="en-GB"/>
              </w:rPr>
            </w:pPr>
            <w:r w:rsidRPr="005B36C8">
              <w:rPr>
                <w:rFonts w:ascii="Arial" w:hAnsi="Arial" w:cs="Arial"/>
                <w:b/>
                <w:bCs/>
                <w:sz w:val="20"/>
                <w:szCs w:val="20"/>
                <w:lang w:val="en-GB"/>
              </w:rPr>
              <w:t>Observations</w:t>
            </w:r>
          </w:p>
        </w:tc>
      </w:tr>
      <w:tr w:rsidR="00BA1DAE" w:rsidRPr="005B36C8" w14:paraId="1E6268BF" w14:textId="77777777" w:rsidTr="00DC0EF8">
        <w:tc>
          <w:tcPr>
            <w:tcW w:w="1222" w:type="pct"/>
            <w:tcBorders>
              <w:top w:val="single" w:sz="8" w:space="0" w:color="auto"/>
              <w:bottom w:val="single" w:sz="4" w:space="0" w:color="auto"/>
            </w:tcBorders>
          </w:tcPr>
          <w:p w14:paraId="43295610"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U</w:t>
            </w:r>
            <w:r w:rsidRPr="005B36C8">
              <w:rPr>
                <w:rFonts w:ascii="Arial" w:hAnsi="Arial" w:cs="Arial"/>
                <w:sz w:val="20"/>
                <w:szCs w:val="20"/>
                <w:vertAlign w:val="subscript"/>
                <w:lang w:val="en-GB"/>
              </w:rPr>
              <w:t>13</w:t>
            </w:r>
          </w:p>
        </w:tc>
        <w:tc>
          <w:tcPr>
            <w:tcW w:w="1591" w:type="pct"/>
            <w:tcBorders>
              <w:top w:val="single" w:sz="8" w:space="0" w:color="auto"/>
              <w:bottom w:val="single" w:sz="4" w:space="0" w:color="auto"/>
            </w:tcBorders>
          </w:tcPr>
          <w:p w14:paraId="23D777A9" w14:textId="77777777" w:rsidR="00BA1DAE" w:rsidRPr="005F7D4F" w:rsidRDefault="00BA1DAE" w:rsidP="00DC0EF8">
            <w:pPr>
              <w:rPr>
                <w:rFonts w:ascii="Arial" w:hAnsi="Arial" w:cs="Arial"/>
                <w:sz w:val="20"/>
                <w:szCs w:val="20"/>
                <w:lang w:val="es-US"/>
              </w:rPr>
            </w:pPr>
            <w:r w:rsidRPr="005F7D4F">
              <w:rPr>
                <w:rFonts w:ascii="Arial" w:hAnsi="Arial" w:cs="Arial"/>
                <w:sz w:val="20"/>
                <w:szCs w:val="20"/>
                <w:lang w:val="es-US"/>
              </w:rPr>
              <w:t xml:space="preserve">UUU </w:t>
            </w:r>
            <w:proofErr w:type="spellStart"/>
            <w:r w:rsidRPr="005F7D4F">
              <w:rPr>
                <w:rFonts w:ascii="Arial" w:hAnsi="Arial" w:cs="Arial"/>
                <w:sz w:val="20"/>
                <w:szCs w:val="20"/>
                <w:lang w:val="es-US"/>
              </w:rPr>
              <w:t>UUU</w:t>
            </w:r>
            <w:proofErr w:type="spellEnd"/>
            <w:r w:rsidRPr="005F7D4F">
              <w:rPr>
                <w:rFonts w:ascii="Arial" w:hAnsi="Arial" w:cs="Arial"/>
                <w:sz w:val="20"/>
                <w:szCs w:val="20"/>
                <w:lang w:val="es-US"/>
              </w:rPr>
              <w:t xml:space="preserve"> </w:t>
            </w:r>
            <w:proofErr w:type="spellStart"/>
            <w:r w:rsidRPr="005F7D4F">
              <w:rPr>
                <w:rFonts w:ascii="Arial" w:hAnsi="Arial" w:cs="Arial"/>
                <w:sz w:val="20"/>
                <w:szCs w:val="20"/>
                <w:lang w:val="es-US"/>
              </w:rPr>
              <w:t>UUU</w:t>
            </w:r>
            <w:proofErr w:type="spellEnd"/>
            <w:r w:rsidRPr="005F7D4F">
              <w:rPr>
                <w:rFonts w:ascii="Arial" w:hAnsi="Arial" w:cs="Arial"/>
                <w:sz w:val="20"/>
                <w:szCs w:val="20"/>
                <w:lang w:val="es-US"/>
              </w:rPr>
              <w:t xml:space="preserve"> </w:t>
            </w:r>
            <w:proofErr w:type="spellStart"/>
            <w:r w:rsidRPr="005F7D4F">
              <w:rPr>
                <w:rFonts w:ascii="Arial" w:hAnsi="Arial" w:cs="Arial"/>
                <w:sz w:val="20"/>
                <w:szCs w:val="20"/>
                <w:lang w:val="es-US"/>
              </w:rPr>
              <w:t>UUU</w:t>
            </w:r>
            <w:proofErr w:type="spellEnd"/>
            <w:r w:rsidRPr="005F7D4F">
              <w:rPr>
                <w:rFonts w:ascii="Arial" w:hAnsi="Arial" w:cs="Arial"/>
                <w:sz w:val="20"/>
                <w:szCs w:val="20"/>
                <w:lang w:val="es-US"/>
              </w:rPr>
              <w:t xml:space="preserve"> U</w:t>
            </w:r>
          </w:p>
        </w:tc>
        <w:tc>
          <w:tcPr>
            <w:tcW w:w="2187" w:type="pct"/>
            <w:tcBorders>
              <w:top w:val="single" w:sz="8" w:space="0" w:color="auto"/>
              <w:bottom w:val="single" w:sz="4" w:space="0" w:color="auto"/>
            </w:tcBorders>
          </w:tcPr>
          <w:p w14:paraId="1C164BB0"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13-nt sequence</w:t>
            </w:r>
          </w:p>
        </w:tc>
      </w:tr>
      <w:tr w:rsidR="00BA1DAE" w:rsidRPr="005B36C8" w14:paraId="273CF133" w14:textId="77777777" w:rsidTr="00DC0EF8">
        <w:tc>
          <w:tcPr>
            <w:tcW w:w="1222" w:type="pct"/>
            <w:tcBorders>
              <w:top w:val="single" w:sz="8" w:space="0" w:color="auto"/>
              <w:bottom w:val="single" w:sz="4" w:space="0" w:color="auto"/>
            </w:tcBorders>
          </w:tcPr>
          <w:p w14:paraId="405917A4"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Poly(U)</w:t>
            </w:r>
          </w:p>
        </w:tc>
        <w:tc>
          <w:tcPr>
            <w:tcW w:w="1591" w:type="pct"/>
            <w:tcBorders>
              <w:top w:val="single" w:sz="8" w:space="0" w:color="auto"/>
              <w:bottom w:val="single" w:sz="4" w:space="0" w:color="auto"/>
            </w:tcBorders>
          </w:tcPr>
          <w:p w14:paraId="34ECC785"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 xml:space="preserve">UUU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p>
        </w:tc>
        <w:tc>
          <w:tcPr>
            <w:tcW w:w="2187" w:type="pct"/>
            <w:tcBorders>
              <w:top w:val="single" w:sz="8" w:space="0" w:color="auto"/>
              <w:bottom w:val="single" w:sz="4" w:space="0" w:color="auto"/>
            </w:tcBorders>
          </w:tcPr>
          <w:p w14:paraId="7AAF0417"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30-nt sequence</w:t>
            </w:r>
          </w:p>
        </w:tc>
      </w:tr>
      <w:tr w:rsidR="00BA1DAE" w:rsidRPr="005B36C8" w14:paraId="5BB3D90B" w14:textId="77777777" w:rsidTr="00DC0EF8">
        <w:tc>
          <w:tcPr>
            <w:tcW w:w="1222" w:type="pct"/>
            <w:tcBorders>
              <w:top w:val="single" w:sz="8" w:space="0" w:color="auto"/>
              <w:bottom w:val="single" w:sz="4" w:space="0" w:color="auto"/>
            </w:tcBorders>
          </w:tcPr>
          <w:p w14:paraId="67FDFB54"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Adh1</w:t>
            </w:r>
          </w:p>
        </w:tc>
        <w:tc>
          <w:tcPr>
            <w:tcW w:w="1591" w:type="pct"/>
            <w:tcBorders>
              <w:top w:val="single" w:sz="8" w:space="0" w:color="auto"/>
              <w:bottom w:val="single" w:sz="4" w:space="0" w:color="auto"/>
            </w:tcBorders>
          </w:tcPr>
          <w:p w14:paraId="159FC280"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GUU UUG UAU AGA AAU   CAA UG</w:t>
            </w:r>
          </w:p>
        </w:tc>
        <w:tc>
          <w:tcPr>
            <w:tcW w:w="2187" w:type="pct"/>
            <w:tcBorders>
              <w:top w:val="single" w:sz="8" w:space="0" w:color="auto"/>
              <w:bottom w:val="single" w:sz="4" w:space="0" w:color="auto"/>
            </w:tcBorders>
          </w:tcPr>
          <w:p w14:paraId="2CF55B14" w14:textId="15B1C2E3" w:rsidR="00BA1DAE" w:rsidRPr="005B36C8" w:rsidRDefault="00BA1DAE" w:rsidP="00DC0EF8">
            <w:pPr>
              <w:jc w:val="both"/>
              <w:rPr>
                <w:rFonts w:ascii="Arial" w:hAnsi="Arial" w:cs="Arial"/>
                <w:sz w:val="20"/>
                <w:szCs w:val="20"/>
                <w:lang w:val="en-GB"/>
              </w:rPr>
            </w:pPr>
            <w:r w:rsidRPr="005B36C8">
              <w:rPr>
                <w:rFonts w:ascii="Arial" w:hAnsi="Arial" w:cs="Arial"/>
                <w:sz w:val="20"/>
                <w:szCs w:val="20"/>
                <w:lang w:val="en-GB"/>
              </w:rPr>
              <w:t xml:space="preserve">20-nt sequence at the 3’-end of </w:t>
            </w:r>
            <w:r w:rsidRPr="005B36C8">
              <w:rPr>
                <w:rFonts w:ascii="Arial" w:hAnsi="Arial" w:cs="Arial"/>
                <w:i/>
                <w:iCs/>
                <w:sz w:val="20"/>
                <w:szCs w:val="20"/>
                <w:lang w:val="en-GB"/>
              </w:rPr>
              <w:t xml:space="preserve">adh1 </w:t>
            </w:r>
            <w:r w:rsidRPr="005B36C8">
              <w:rPr>
                <w:rFonts w:ascii="Arial" w:hAnsi="Arial" w:cs="Arial"/>
                <w:sz w:val="20"/>
                <w:szCs w:val="20"/>
                <w:lang w:val="en-GB"/>
              </w:rPr>
              <w:t xml:space="preserve">(alcohol dehydrogenase) mRNA from </w:t>
            </w:r>
            <w:r w:rsidRPr="005B36C8">
              <w:rPr>
                <w:rFonts w:ascii="Arial" w:hAnsi="Arial" w:cs="Arial"/>
                <w:i/>
                <w:iCs/>
                <w:sz w:val="20"/>
                <w:szCs w:val="20"/>
                <w:lang w:val="en-GB"/>
              </w:rPr>
              <w:t>S. pombe</w:t>
            </w:r>
            <w:r w:rsidRPr="005B36C8">
              <w:rPr>
                <w:rFonts w:ascii="Arial" w:hAnsi="Arial" w:cs="Arial"/>
                <w:sz w:val="20"/>
                <w:szCs w:val="20"/>
                <w:lang w:val="en-GB"/>
              </w:rPr>
              <w:t xml:space="preserve">; corresponds to Substrate 1 from </w:t>
            </w:r>
            <w:sdt>
              <w:sdtPr>
                <w:rPr>
                  <w:rFonts w:ascii="Arial" w:hAnsi="Arial" w:cs="Arial"/>
                  <w:color w:val="000000"/>
                  <w:sz w:val="20"/>
                  <w:szCs w:val="20"/>
                </w:rPr>
                <w:tag w:val="MENDELEY_CITATION_v3_eyJjaXRhdGlvbklEIjoiTUVOREVMRVlfQ0lUQVRJT05fMzMwZjU4MDgtYzI3OC00ZDBkLWE2NWYtZTJjZTZkNzM3YzMy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
                <w:id w:val="-428197782"/>
                <w:placeholder>
                  <w:docPart w:val="5E88C625751F4707B578B9D36F759A10"/>
                </w:placeholder>
              </w:sdtPr>
              <w:sdtContent>
                <w:r w:rsidR="009823D2" w:rsidRPr="009823D2">
                  <w:rPr>
                    <w:rFonts w:ascii="Arial" w:hAnsi="Arial" w:cs="Arial"/>
                    <w:color w:val="000000"/>
                    <w:sz w:val="20"/>
                    <w:szCs w:val="20"/>
                    <w:lang w:val="en-GB"/>
                  </w:rPr>
                  <w:t>(Malecki et al., 2013)</w:t>
                </w:r>
              </w:sdtContent>
            </w:sdt>
          </w:p>
        </w:tc>
      </w:tr>
      <w:tr w:rsidR="00BA1DAE" w:rsidRPr="005B36C8" w14:paraId="452E9093" w14:textId="77777777" w:rsidTr="00DC0EF8">
        <w:tc>
          <w:tcPr>
            <w:tcW w:w="1222" w:type="pct"/>
            <w:tcBorders>
              <w:top w:val="single" w:sz="4" w:space="0" w:color="auto"/>
              <w:bottom w:val="single" w:sz="4" w:space="0" w:color="auto"/>
            </w:tcBorders>
          </w:tcPr>
          <w:p w14:paraId="1D9A5F7A"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Adh1-U</w:t>
            </w:r>
            <w:r w:rsidRPr="005B36C8">
              <w:rPr>
                <w:rFonts w:ascii="Arial" w:hAnsi="Arial" w:cs="Arial"/>
                <w:sz w:val="20"/>
                <w:szCs w:val="20"/>
                <w:vertAlign w:val="subscript"/>
                <w:lang w:val="en-GB"/>
              </w:rPr>
              <w:t>4</w:t>
            </w:r>
          </w:p>
        </w:tc>
        <w:tc>
          <w:tcPr>
            <w:tcW w:w="1591" w:type="pct"/>
            <w:tcBorders>
              <w:top w:val="single" w:sz="4" w:space="0" w:color="auto"/>
              <w:bottom w:val="single" w:sz="4" w:space="0" w:color="auto"/>
            </w:tcBorders>
          </w:tcPr>
          <w:p w14:paraId="464D950D"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GUU UUG UAU AGA AAU   CAA UGU UUU</w:t>
            </w:r>
          </w:p>
        </w:tc>
        <w:tc>
          <w:tcPr>
            <w:tcW w:w="2187" w:type="pct"/>
            <w:tcBorders>
              <w:top w:val="single" w:sz="4" w:space="0" w:color="auto"/>
              <w:bottom w:val="single" w:sz="4" w:space="0" w:color="auto"/>
            </w:tcBorders>
          </w:tcPr>
          <w:p w14:paraId="295BE360" w14:textId="77777777" w:rsidR="00BA1DAE" w:rsidRPr="005B36C8" w:rsidRDefault="00BA1DAE" w:rsidP="00DC0EF8">
            <w:pPr>
              <w:jc w:val="both"/>
              <w:rPr>
                <w:rFonts w:ascii="Arial" w:hAnsi="Arial" w:cs="Arial"/>
                <w:sz w:val="20"/>
                <w:szCs w:val="20"/>
                <w:lang w:val="en-GB"/>
              </w:rPr>
            </w:pPr>
            <w:r w:rsidRPr="005B36C8">
              <w:rPr>
                <w:rFonts w:ascii="Arial" w:hAnsi="Arial" w:cs="Arial"/>
                <w:sz w:val="20"/>
                <w:szCs w:val="20"/>
                <w:lang w:val="en-GB"/>
              </w:rPr>
              <w:t>24-nt sequence; Adh1 sequence followed by 4 additional uridines</w:t>
            </w:r>
          </w:p>
        </w:tc>
      </w:tr>
      <w:tr w:rsidR="00BA1DAE" w:rsidRPr="005B36C8" w14:paraId="3B79180B" w14:textId="77777777" w:rsidTr="00DC0EF8">
        <w:tc>
          <w:tcPr>
            <w:tcW w:w="1222" w:type="pct"/>
            <w:tcBorders>
              <w:top w:val="single" w:sz="4" w:space="0" w:color="auto"/>
              <w:bottom w:val="single" w:sz="4" w:space="0" w:color="auto"/>
            </w:tcBorders>
          </w:tcPr>
          <w:p w14:paraId="266D21CF"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Adh1-U</w:t>
            </w:r>
            <w:r w:rsidRPr="005B36C8">
              <w:rPr>
                <w:rFonts w:ascii="Arial" w:hAnsi="Arial" w:cs="Arial"/>
                <w:sz w:val="20"/>
                <w:szCs w:val="20"/>
                <w:vertAlign w:val="subscript"/>
                <w:lang w:val="en-GB"/>
              </w:rPr>
              <w:t>16</w:t>
            </w:r>
          </w:p>
        </w:tc>
        <w:tc>
          <w:tcPr>
            <w:tcW w:w="1591" w:type="pct"/>
            <w:tcBorders>
              <w:top w:val="single" w:sz="4" w:space="0" w:color="auto"/>
              <w:bottom w:val="single" w:sz="4" w:space="0" w:color="auto"/>
            </w:tcBorders>
          </w:tcPr>
          <w:p w14:paraId="43B6C3D6"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 xml:space="preserve">GUU UUG UAU AGA AAU   CAA UGU UUU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r w:rsidRPr="005B36C8">
              <w:rPr>
                <w:rFonts w:ascii="Arial" w:hAnsi="Arial" w:cs="Arial"/>
                <w:sz w:val="20"/>
                <w:szCs w:val="20"/>
                <w:lang w:val="en-GB"/>
              </w:rPr>
              <w:t xml:space="preserve"> </w:t>
            </w:r>
            <w:proofErr w:type="spellStart"/>
            <w:r w:rsidRPr="005B36C8">
              <w:rPr>
                <w:rFonts w:ascii="Arial" w:hAnsi="Arial" w:cs="Arial"/>
                <w:sz w:val="20"/>
                <w:szCs w:val="20"/>
                <w:lang w:val="en-GB"/>
              </w:rPr>
              <w:t>UUU</w:t>
            </w:r>
            <w:proofErr w:type="spellEnd"/>
          </w:p>
        </w:tc>
        <w:tc>
          <w:tcPr>
            <w:tcW w:w="2187" w:type="pct"/>
            <w:tcBorders>
              <w:top w:val="single" w:sz="4" w:space="0" w:color="auto"/>
              <w:bottom w:val="single" w:sz="4" w:space="0" w:color="auto"/>
            </w:tcBorders>
          </w:tcPr>
          <w:p w14:paraId="5583C713" w14:textId="77777777" w:rsidR="00BA1DAE" w:rsidRPr="005B36C8" w:rsidRDefault="00BA1DAE" w:rsidP="00DC0EF8">
            <w:pPr>
              <w:jc w:val="both"/>
              <w:rPr>
                <w:rFonts w:ascii="Arial" w:hAnsi="Arial" w:cs="Arial"/>
                <w:sz w:val="20"/>
                <w:szCs w:val="20"/>
                <w:lang w:val="en-GB"/>
              </w:rPr>
            </w:pPr>
            <w:r w:rsidRPr="005B36C8">
              <w:rPr>
                <w:rFonts w:ascii="Arial" w:hAnsi="Arial" w:cs="Arial"/>
                <w:sz w:val="20"/>
                <w:szCs w:val="20"/>
                <w:lang w:val="en-GB"/>
              </w:rPr>
              <w:t>36-nt sequence; Adh1 sequence followed by 16 additional uridines</w:t>
            </w:r>
          </w:p>
        </w:tc>
      </w:tr>
      <w:tr w:rsidR="00BA1DAE" w:rsidRPr="005B36C8" w14:paraId="597A3355" w14:textId="77777777" w:rsidTr="00DC0EF8">
        <w:tc>
          <w:tcPr>
            <w:tcW w:w="1222" w:type="pct"/>
            <w:tcBorders>
              <w:top w:val="single" w:sz="4" w:space="0" w:color="auto"/>
              <w:bottom w:val="single" w:sz="4" w:space="0" w:color="auto"/>
            </w:tcBorders>
          </w:tcPr>
          <w:p w14:paraId="2F9C264E" w14:textId="77777777" w:rsidR="00BA1DAE" w:rsidRPr="005B36C8" w:rsidRDefault="00BA1DAE" w:rsidP="00DC0EF8">
            <w:pPr>
              <w:rPr>
                <w:rFonts w:ascii="Arial" w:hAnsi="Arial" w:cs="Arial"/>
                <w:sz w:val="20"/>
                <w:szCs w:val="20"/>
                <w:lang w:val="en-GB"/>
              </w:rPr>
            </w:pPr>
            <w:r w:rsidRPr="005B36C8">
              <w:rPr>
                <w:rFonts w:ascii="Arial" w:hAnsi="Arial" w:cs="Arial"/>
                <w:sz w:val="20"/>
                <w:szCs w:val="20"/>
                <w:lang w:val="en-GB"/>
              </w:rPr>
              <w:t>asAdh1</w:t>
            </w:r>
          </w:p>
        </w:tc>
        <w:tc>
          <w:tcPr>
            <w:tcW w:w="1591" w:type="pct"/>
            <w:tcBorders>
              <w:top w:val="single" w:sz="4" w:space="0" w:color="auto"/>
              <w:bottom w:val="single" w:sz="4" w:space="0" w:color="auto"/>
            </w:tcBorders>
          </w:tcPr>
          <w:p w14:paraId="14763CAE" w14:textId="77777777" w:rsidR="00BA1DAE" w:rsidRPr="005F7D4F" w:rsidRDefault="00BA1DAE" w:rsidP="00DC0EF8">
            <w:pPr>
              <w:rPr>
                <w:rFonts w:ascii="Arial" w:hAnsi="Arial" w:cs="Arial"/>
                <w:sz w:val="20"/>
                <w:szCs w:val="20"/>
                <w:lang w:val="es-US"/>
              </w:rPr>
            </w:pPr>
            <w:r w:rsidRPr="005F7D4F">
              <w:rPr>
                <w:rFonts w:ascii="Arial" w:hAnsi="Arial" w:cs="Arial"/>
                <w:sz w:val="20"/>
                <w:szCs w:val="20"/>
                <w:lang w:val="es-US"/>
              </w:rPr>
              <w:t>CAU UGA UUU CUA UAC   AAA AC</w:t>
            </w:r>
          </w:p>
        </w:tc>
        <w:tc>
          <w:tcPr>
            <w:tcW w:w="2187" w:type="pct"/>
            <w:tcBorders>
              <w:top w:val="single" w:sz="4" w:space="0" w:color="auto"/>
              <w:bottom w:val="single" w:sz="4" w:space="0" w:color="auto"/>
            </w:tcBorders>
          </w:tcPr>
          <w:p w14:paraId="1702977C" w14:textId="77777777" w:rsidR="00BA1DAE" w:rsidRPr="005B36C8" w:rsidRDefault="00BA1DAE" w:rsidP="00DC0EF8">
            <w:pPr>
              <w:jc w:val="both"/>
              <w:rPr>
                <w:rFonts w:ascii="Arial" w:hAnsi="Arial" w:cs="Arial"/>
                <w:sz w:val="20"/>
                <w:szCs w:val="20"/>
                <w:lang w:val="en-GB"/>
              </w:rPr>
            </w:pPr>
            <w:r w:rsidRPr="005B36C8">
              <w:rPr>
                <w:rFonts w:ascii="Arial" w:hAnsi="Arial" w:cs="Arial"/>
                <w:sz w:val="20"/>
                <w:szCs w:val="20"/>
                <w:lang w:val="en-GB"/>
              </w:rPr>
              <w:t>20-nt antisense sequence complementary to Adh1</w:t>
            </w:r>
          </w:p>
        </w:tc>
      </w:tr>
    </w:tbl>
    <w:p w14:paraId="40102210" w14:textId="77777777" w:rsidR="00BA1DAE" w:rsidRPr="005B36C8" w:rsidRDefault="00BA1DAE" w:rsidP="00BA1DAE">
      <w:pPr>
        <w:rPr>
          <w:rFonts w:ascii="Arial" w:hAnsi="Arial" w:cs="Arial"/>
          <w:sz w:val="20"/>
          <w:szCs w:val="20"/>
        </w:rPr>
      </w:pPr>
      <w:r w:rsidRPr="005B36C8">
        <w:rPr>
          <w:rFonts w:ascii="Arial" w:hAnsi="Arial" w:cs="Arial"/>
          <w:sz w:val="20"/>
          <w:szCs w:val="20"/>
        </w:rPr>
        <w:br w:type="page"/>
      </w:r>
    </w:p>
    <w:p w14:paraId="48A8B800" w14:textId="54186453" w:rsidR="00A76B62" w:rsidRPr="005B36C8" w:rsidRDefault="00FE71AD" w:rsidP="00BA1DAE">
      <w:pPr>
        <w:spacing w:line="240" w:lineRule="auto"/>
        <w:jc w:val="both"/>
        <w:rPr>
          <w:b/>
          <w:bCs/>
          <w:sz w:val="20"/>
          <w:szCs w:val="20"/>
        </w:rPr>
      </w:pPr>
      <w:r>
        <w:rPr>
          <w:b/>
          <w:bCs/>
          <w:noProof/>
          <w:sz w:val="20"/>
          <w:szCs w:val="20"/>
          <w14:ligatures w14:val="none"/>
        </w:rPr>
        <w:lastRenderedPageBreak/>
        <w:drawing>
          <wp:inline distT="0" distB="0" distL="0" distR="0" wp14:anchorId="46CDA82E" wp14:editId="56A90385">
            <wp:extent cx="5759450" cy="5217795"/>
            <wp:effectExtent l="0" t="0" r="0" b="1905"/>
            <wp:docPr id="1144412330" name="Picture 1" descr="A collage of images of 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12330" name="Picture 1" descr="A collage of images of dna"/>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59450" cy="5217795"/>
                    </a:xfrm>
                    <a:prstGeom prst="rect">
                      <a:avLst/>
                    </a:prstGeom>
                  </pic:spPr>
                </pic:pic>
              </a:graphicData>
            </a:graphic>
          </wp:inline>
        </w:drawing>
      </w:r>
    </w:p>
    <w:p w14:paraId="0BA7BBF5" w14:textId="24BB92B7" w:rsidR="00BA1DAE" w:rsidRPr="005B36C8" w:rsidRDefault="00BA1DAE" w:rsidP="00AF2E22">
      <w:pPr>
        <w:spacing w:line="276" w:lineRule="auto"/>
        <w:jc w:val="both"/>
        <w:rPr>
          <w:rFonts w:ascii="Arial" w:hAnsi="Arial" w:cs="Arial"/>
          <w:sz w:val="20"/>
          <w:szCs w:val="20"/>
        </w:rPr>
      </w:pPr>
      <w:r w:rsidRPr="001F1E0E">
        <w:rPr>
          <w:rFonts w:ascii="Arial" w:hAnsi="Arial" w:cs="Arial"/>
          <w:b/>
          <w:bCs/>
          <w:sz w:val="20"/>
          <w:szCs w:val="20"/>
        </w:rPr>
        <w:t xml:space="preserve">Figure </w:t>
      </w:r>
      <w:r w:rsidR="008D1788" w:rsidRPr="001F1E0E">
        <w:rPr>
          <w:rFonts w:ascii="Arial" w:hAnsi="Arial" w:cs="Arial"/>
          <w:b/>
          <w:bCs/>
          <w:sz w:val="20"/>
          <w:szCs w:val="20"/>
        </w:rPr>
        <w:t>S1</w:t>
      </w:r>
      <w:r w:rsidRPr="001F1E0E">
        <w:rPr>
          <w:rFonts w:ascii="Arial" w:hAnsi="Arial" w:cs="Arial"/>
          <w:b/>
          <w:bCs/>
          <w:sz w:val="20"/>
          <w:szCs w:val="20"/>
        </w:rPr>
        <w:t xml:space="preserve">. Purification and structure determination of SpDis3L2. (A) </w:t>
      </w:r>
      <w:r w:rsidRPr="001F1E0E">
        <w:rPr>
          <w:rFonts w:ascii="Arial" w:hAnsi="Arial" w:cs="Arial"/>
          <w:sz w:val="20"/>
          <w:szCs w:val="20"/>
        </w:rPr>
        <w:t>Domain architecture of SpDis3L2, highlighting CSD1, CSD2, RNB and S1 domains.</w:t>
      </w:r>
      <w:r w:rsidRPr="001F1E0E">
        <w:rPr>
          <w:rFonts w:ascii="Arial" w:hAnsi="Arial" w:cs="Arial"/>
          <w:b/>
          <w:bCs/>
          <w:sz w:val="20"/>
          <w:szCs w:val="20"/>
        </w:rPr>
        <w:t xml:space="preserve"> (B) </w:t>
      </w:r>
      <w:r w:rsidRPr="001F1E0E">
        <w:rPr>
          <w:rFonts w:ascii="Arial" w:hAnsi="Arial" w:cs="Arial"/>
          <w:sz w:val="20"/>
          <w:szCs w:val="20"/>
        </w:rPr>
        <w:t>Size exclusion chromatogram and SDS-PAGE for purified SpDis3L2(D461N)</w:t>
      </w:r>
      <w:r w:rsidRPr="001F1E0E">
        <w:rPr>
          <w:rFonts w:ascii="Arial" w:eastAsia="Adobe Fan Heiti Std B" w:hAnsi="Arial" w:cs="Arial"/>
          <w:sz w:val="20"/>
          <w:szCs w:val="20"/>
          <w:vertAlign w:val="superscript"/>
        </w:rPr>
        <w:t>Δ</w:t>
      </w:r>
      <w:r w:rsidRPr="001F1E0E">
        <w:rPr>
          <w:rFonts w:ascii="Arial" w:hAnsi="Arial" w:cs="Arial"/>
          <w:sz w:val="20"/>
          <w:szCs w:val="20"/>
          <w:vertAlign w:val="superscript"/>
        </w:rPr>
        <w:t>N168</w:t>
      </w:r>
      <w:r w:rsidRPr="001F1E0E">
        <w:rPr>
          <w:rFonts w:ascii="Arial" w:hAnsi="Arial" w:cs="Arial"/>
          <w:sz w:val="20"/>
          <w:szCs w:val="20"/>
        </w:rPr>
        <w:t xml:space="preserve"> protein used for </w:t>
      </w:r>
      <w:r w:rsidR="0038639E" w:rsidRPr="001F1E0E">
        <w:rPr>
          <w:rFonts w:ascii="Arial" w:hAnsi="Arial" w:cs="Arial"/>
          <w:sz w:val="20"/>
          <w:szCs w:val="20"/>
        </w:rPr>
        <w:t>crystallisation</w:t>
      </w:r>
      <w:r w:rsidRPr="001F1E0E">
        <w:rPr>
          <w:rFonts w:ascii="Arial" w:hAnsi="Arial" w:cs="Arial"/>
          <w:sz w:val="20"/>
          <w:szCs w:val="20"/>
        </w:rPr>
        <w:t>. The crystals used for structure determination are shown.</w:t>
      </w:r>
      <w:r w:rsidRPr="001F1E0E">
        <w:rPr>
          <w:rFonts w:ascii="Arial" w:hAnsi="Arial" w:cs="Arial"/>
          <w:b/>
          <w:bCs/>
          <w:sz w:val="20"/>
          <w:szCs w:val="20"/>
        </w:rPr>
        <w:t xml:space="preserve"> (C) </w:t>
      </w:r>
      <w:r w:rsidRPr="001F1E0E">
        <w:rPr>
          <w:rFonts w:ascii="Arial" w:hAnsi="Arial" w:cs="Arial"/>
          <w:sz w:val="20"/>
          <w:szCs w:val="20"/>
        </w:rPr>
        <w:t>The superposition of the two molecules in the asymmetric unit of SpDis3L2(D461N)</w:t>
      </w:r>
      <w:r w:rsidRPr="001F1E0E">
        <w:rPr>
          <w:rFonts w:ascii="Arial" w:eastAsia="Adobe Fan Heiti Std B" w:hAnsi="Arial" w:cs="Arial"/>
          <w:sz w:val="20"/>
          <w:szCs w:val="20"/>
          <w:vertAlign w:val="superscript"/>
        </w:rPr>
        <w:t>Δ</w:t>
      </w:r>
      <w:r w:rsidRPr="001F1E0E">
        <w:rPr>
          <w:rFonts w:ascii="Arial" w:hAnsi="Arial" w:cs="Arial"/>
          <w:sz w:val="20"/>
          <w:szCs w:val="20"/>
          <w:vertAlign w:val="superscript"/>
        </w:rPr>
        <w:t>N168</w:t>
      </w:r>
      <w:r w:rsidRPr="001F1E0E">
        <w:rPr>
          <w:rFonts w:ascii="Arial" w:hAnsi="Arial" w:cs="Arial"/>
          <w:sz w:val="20"/>
          <w:szCs w:val="20"/>
        </w:rPr>
        <w:t>–U</w:t>
      </w:r>
      <w:r w:rsidRPr="001F1E0E">
        <w:rPr>
          <w:rFonts w:ascii="Arial" w:hAnsi="Arial" w:cs="Arial"/>
          <w:sz w:val="20"/>
          <w:szCs w:val="20"/>
          <w:vertAlign w:val="subscript"/>
        </w:rPr>
        <w:t>13</w:t>
      </w:r>
      <w:r w:rsidRPr="001F1E0E">
        <w:rPr>
          <w:rFonts w:ascii="Arial" w:hAnsi="Arial" w:cs="Arial"/>
          <w:sz w:val="20"/>
          <w:szCs w:val="20"/>
        </w:rPr>
        <w:t xml:space="preserve"> crystal structure.</w:t>
      </w:r>
      <w:r w:rsidRPr="001F1E0E">
        <w:rPr>
          <w:rFonts w:ascii="Arial" w:hAnsi="Arial" w:cs="Arial"/>
          <w:b/>
          <w:bCs/>
          <w:sz w:val="20"/>
          <w:szCs w:val="20"/>
        </w:rPr>
        <w:t xml:space="preserve"> </w:t>
      </w:r>
      <w:r w:rsidR="009967B2" w:rsidRPr="001F1E0E">
        <w:rPr>
          <w:rFonts w:ascii="Arial" w:hAnsi="Arial" w:cs="Arial"/>
          <w:sz w:val="20"/>
          <w:szCs w:val="20"/>
        </w:rPr>
        <w:t xml:space="preserve">The 2Fo-Fc electron density for </w:t>
      </w:r>
      <w:r w:rsidRPr="001F1E0E">
        <w:rPr>
          <w:rFonts w:ascii="Arial" w:hAnsi="Arial" w:cs="Arial"/>
          <w:b/>
          <w:bCs/>
          <w:sz w:val="20"/>
          <w:szCs w:val="20"/>
        </w:rPr>
        <w:t>(D)</w:t>
      </w:r>
      <w:r w:rsidRPr="001F1E0E">
        <w:rPr>
          <w:rFonts w:ascii="Arial" w:hAnsi="Arial" w:cs="Arial"/>
          <w:sz w:val="20"/>
          <w:szCs w:val="20"/>
        </w:rPr>
        <w:t xml:space="preserve"> </w:t>
      </w:r>
      <w:r w:rsidR="009967B2" w:rsidRPr="001F1E0E">
        <w:rPr>
          <w:rFonts w:ascii="Arial" w:hAnsi="Arial" w:cs="Arial"/>
          <w:sz w:val="20"/>
          <w:szCs w:val="20"/>
        </w:rPr>
        <w:t xml:space="preserve">the U13 RNA and </w:t>
      </w:r>
      <w:r w:rsidR="009967B2" w:rsidRPr="001F1E0E">
        <w:rPr>
          <w:rFonts w:ascii="Arial" w:hAnsi="Arial" w:cs="Arial"/>
          <w:b/>
          <w:bCs/>
          <w:sz w:val="20"/>
          <w:szCs w:val="20"/>
        </w:rPr>
        <w:t>(E)</w:t>
      </w:r>
      <w:r w:rsidR="009967B2" w:rsidRPr="001F1E0E">
        <w:rPr>
          <w:rFonts w:ascii="Arial" w:hAnsi="Arial" w:cs="Arial"/>
          <w:sz w:val="20"/>
          <w:szCs w:val="20"/>
        </w:rPr>
        <w:t xml:space="preserve"> the CSD1 domain </w:t>
      </w:r>
      <w:r w:rsidR="00D752CA" w:rsidRPr="001F1E0E">
        <w:rPr>
          <w:rFonts w:ascii="Arial" w:hAnsi="Arial" w:cs="Arial"/>
          <w:sz w:val="20"/>
          <w:szCs w:val="20"/>
        </w:rPr>
        <w:t>of</w:t>
      </w:r>
      <w:r w:rsidR="009967B2" w:rsidRPr="001F1E0E">
        <w:rPr>
          <w:rFonts w:ascii="Arial" w:hAnsi="Arial" w:cs="Arial"/>
          <w:sz w:val="20"/>
          <w:szCs w:val="20"/>
        </w:rPr>
        <w:t xml:space="preserve"> molecule-1 of the asymmetric unit is shown as mesh at 1.2 </w:t>
      </w:r>
      <w:r w:rsidR="009967B2" w:rsidRPr="001F1E0E">
        <w:rPr>
          <w:rFonts w:ascii="Arial" w:hAnsi="Arial" w:cs="Arial" w:hint="eastAsia"/>
          <w:sz w:val="20"/>
          <w:szCs w:val="20"/>
        </w:rPr>
        <w:t>σ</w:t>
      </w:r>
      <w:r w:rsidR="009967B2" w:rsidRPr="001F1E0E">
        <w:rPr>
          <w:rFonts w:ascii="Arial" w:hAnsi="Arial" w:cs="Arial"/>
          <w:sz w:val="20"/>
          <w:szCs w:val="20"/>
        </w:rPr>
        <w:t xml:space="preserve"> level with a carve radius of 1.6 Å.</w:t>
      </w:r>
      <w:r w:rsidR="009967B2" w:rsidRPr="001F1E0E">
        <w:rPr>
          <w:rFonts w:ascii="Arial" w:hAnsi="Arial" w:cs="Arial"/>
          <w:b/>
          <w:bCs/>
          <w:sz w:val="20"/>
          <w:szCs w:val="20"/>
        </w:rPr>
        <w:t xml:space="preserve"> (F) </w:t>
      </w:r>
      <w:r w:rsidRPr="001F1E0E">
        <w:rPr>
          <w:rFonts w:ascii="Arial" w:hAnsi="Arial" w:cs="Arial"/>
          <w:sz w:val="20"/>
          <w:szCs w:val="20"/>
        </w:rPr>
        <w:t xml:space="preserve">The RNA </w:t>
      </w:r>
      <w:r w:rsidR="0038639E" w:rsidRPr="001F1E0E">
        <w:rPr>
          <w:rFonts w:ascii="Arial" w:hAnsi="Arial" w:cs="Arial"/>
          <w:sz w:val="20"/>
          <w:szCs w:val="20"/>
        </w:rPr>
        <w:t xml:space="preserve">interacts </w:t>
      </w:r>
      <w:r w:rsidRPr="001F1E0E">
        <w:rPr>
          <w:rFonts w:ascii="Arial" w:hAnsi="Arial" w:cs="Arial"/>
          <w:sz w:val="20"/>
          <w:szCs w:val="20"/>
        </w:rPr>
        <w:t xml:space="preserve">with CSD1, CSD2 and </w:t>
      </w:r>
      <w:r w:rsidR="00AF2E22" w:rsidRPr="001F1E0E">
        <w:rPr>
          <w:rFonts w:ascii="Arial" w:hAnsi="Arial" w:cs="Arial"/>
          <w:sz w:val="20"/>
          <w:szCs w:val="20"/>
        </w:rPr>
        <w:t xml:space="preserve">the </w:t>
      </w:r>
      <w:r w:rsidRPr="001F1E0E">
        <w:rPr>
          <w:rFonts w:ascii="Arial" w:hAnsi="Arial" w:cs="Arial"/>
          <w:sz w:val="20"/>
          <w:szCs w:val="20"/>
        </w:rPr>
        <w:t xml:space="preserve">S1 domain. The </w:t>
      </w:r>
      <w:r w:rsidR="00AF2E22" w:rsidRPr="001F1E0E">
        <w:rPr>
          <w:rFonts w:ascii="Arial" w:hAnsi="Arial" w:cs="Arial"/>
          <w:sz w:val="20"/>
          <w:szCs w:val="20"/>
        </w:rPr>
        <w:t xml:space="preserve">CSD </w:t>
      </w:r>
      <w:r w:rsidR="00B55377" w:rsidRPr="001F1E0E">
        <w:rPr>
          <w:rFonts w:ascii="Arial" w:hAnsi="Arial" w:cs="Arial"/>
          <w:sz w:val="20"/>
          <w:szCs w:val="20"/>
        </w:rPr>
        <w:t>surface’s</w:t>
      </w:r>
      <w:r w:rsidRPr="001F1E0E">
        <w:rPr>
          <w:rFonts w:ascii="Arial" w:hAnsi="Arial" w:cs="Arial"/>
          <w:sz w:val="20"/>
          <w:szCs w:val="20"/>
        </w:rPr>
        <w:t xml:space="preserve"> electrostatic potential is shown, while </w:t>
      </w:r>
      <w:r w:rsidR="0038639E" w:rsidRPr="001F1E0E">
        <w:rPr>
          <w:rFonts w:ascii="Arial" w:hAnsi="Arial" w:cs="Arial"/>
          <w:sz w:val="20"/>
          <w:szCs w:val="20"/>
        </w:rPr>
        <w:t xml:space="preserve">the </w:t>
      </w:r>
      <w:r w:rsidRPr="001F1E0E">
        <w:rPr>
          <w:rFonts w:ascii="Arial" w:hAnsi="Arial" w:cs="Arial"/>
          <w:sz w:val="20"/>
          <w:szCs w:val="20"/>
        </w:rPr>
        <w:t>S1 domain is shown in grey. Different residues interacting with nucleotides are also shown with sticks.</w:t>
      </w:r>
      <w:r w:rsidRPr="005B36C8">
        <w:rPr>
          <w:rFonts w:ascii="Arial" w:hAnsi="Arial" w:cs="Arial"/>
          <w:b/>
          <w:bCs/>
          <w:sz w:val="20"/>
          <w:szCs w:val="20"/>
        </w:rPr>
        <w:t xml:space="preserve"> </w:t>
      </w:r>
    </w:p>
    <w:p w14:paraId="3CE26552" w14:textId="77777777" w:rsidR="00BA1DAE" w:rsidRPr="005B36C8" w:rsidRDefault="00BA1DAE" w:rsidP="00BA1DAE">
      <w:pPr>
        <w:spacing w:line="240" w:lineRule="auto"/>
        <w:jc w:val="both"/>
        <w:rPr>
          <w:rFonts w:ascii="Arial" w:hAnsi="Arial" w:cs="Arial"/>
          <w:sz w:val="20"/>
          <w:szCs w:val="20"/>
        </w:rPr>
      </w:pPr>
    </w:p>
    <w:p w14:paraId="5455C0EC" w14:textId="77777777" w:rsidR="00BA1DAE" w:rsidRPr="005B36C8" w:rsidRDefault="00BA1DAE" w:rsidP="00BA1DAE">
      <w:pPr>
        <w:rPr>
          <w:rFonts w:ascii="Arial" w:hAnsi="Arial" w:cs="Arial"/>
          <w:sz w:val="24"/>
          <w:szCs w:val="24"/>
        </w:rPr>
      </w:pPr>
    </w:p>
    <w:p w14:paraId="78D6F82B" w14:textId="77777777" w:rsidR="00BA1DAE" w:rsidRPr="005B36C8" w:rsidRDefault="00BA1DAE" w:rsidP="00BA1DAE">
      <w:pPr>
        <w:rPr>
          <w:rFonts w:ascii="Arial" w:hAnsi="Arial" w:cs="Arial"/>
          <w:sz w:val="24"/>
          <w:szCs w:val="24"/>
        </w:rPr>
      </w:pPr>
    </w:p>
    <w:p w14:paraId="69FB930A" w14:textId="77777777" w:rsidR="00BA1DAE" w:rsidRPr="005B36C8" w:rsidRDefault="00BA1DAE" w:rsidP="00BA1DAE">
      <w:pPr>
        <w:rPr>
          <w:rFonts w:ascii="Arial" w:hAnsi="Arial" w:cs="Arial"/>
          <w:sz w:val="24"/>
          <w:szCs w:val="24"/>
        </w:rPr>
      </w:pPr>
    </w:p>
    <w:p w14:paraId="7344C590" w14:textId="77777777" w:rsidR="00BA1DAE" w:rsidRPr="005B36C8" w:rsidRDefault="00BA1DAE" w:rsidP="00BA1DAE">
      <w:pPr>
        <w:rPr>
          <w:rFonts w:ascii="Arial" w:hAnsi="Arial" w:cs="Arial"/>
          <w:sz w:val="24"/>
          <w:szCs w:val="24"/>
        </w:rPr>
      </w:pPr>
    </w:p>
    <w:p w14:paraId="305C2AD6" w14:textId="77777777" w:rsidR="00BA1DAE" w:rsidRPr="005B36C8" w:rsidRDefault="00BA1DAE" w:rsidP="00BA1DAE">
      <w:pPr>
        <w:rPr>
          <w:rFonts w:ascii="Arial" w:hAnsi="Arial" w:cs="Arial"/>
          <w:sz w:val="24"/>
          <w:szCs w:val="24"/>
        </w:rPr>
      </w:pPr>
      <w:r w:rsidRPr="005B36C8">
        <w:rPr>
          <w:rFonts w:ascii="Arial" w:hAnsi="Arial" w:cs="Arial"/>
          <w:sz w:val="24"/>
          <w:szCs w:val="24"/>
        </w:rPr>
        <w:br w:type="page"/>
      </w:r>
    </w:p>
    <w:p w14:paraId="3D5CB417" w14:textId="557D166D" w:rsidR="007B1AE4" w:rsidRPr="005B36C8" w:rsidRDefault="00FE71AD" w:rsidP="00BA1DAE">
      <w:pPr>
        <w:jc w:val="center"/>
        <w:rPr>
          <w:rFonts w:ascii="Arial" w:hAnsi="Arial" w:cs="Arial"/>
          <w:sz w:val="24"/>
          <w:szCs w:val="24"/>
        </w:rPr>
      </w:pPr>
      <w:r>
        <w:rPr>
          <w:rFonts w:ascii="Arial" w:hAnsi="Arial" w:cs="Arial"/>
          <w:noProof/>
          <w:sz w:val="24"/>
          <w:szCs w:val="24"/>
          <w14:ligatures w14:val="none"/>
        </w:rPr>
        <w:lastRenderedPageBreak/>
        <w:drawing>
          <wp:inline distT="0" distB="0" distL="0" distR="0" wp14:anchorId="3AD229FE" wp14:editId="6C56BD4C">
            <wp:extent cx="5759450" cy="8819515"/>
            <wp:effectExtent l="0" t="0" r="0" b="635"/>
            <wp:docPr id="1370958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58030" name="Picture 137095803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9450" cy="8819515"/>
                    </a:xfrm>
                    <a:prstGeom prst="rect">
                      <a:avLst/>
                    </a:prstGeom>
                  </pic:spPr>
                </pic:pic>
              </a:graphicData>
            </a:graphic>
          </wp:inline>
        </w:drawing>
      </w:r>
    </w:p>
    <w:p w14:paraId="7CE9937D" w14:textId="3B00C55A" w:rsidR="00BA1DAE" w:rsidRPr="005B36C8" w:rsidRDefault="00FE71AD" w:rsidP="0038639E">
      <w:pPr>
        <w:rPr>
          <w:rFonts w:ascii="Arial" w:hAnsi="Arial" w:cs="Arial"/>
          <w:sz w:val="24"/>
          <w:szCs w:val="24"/>
        </w:rPr>
      </w:pPr>
      <w:r>
        <w:rPr>
          <w:rFonts w:ascii="Arial" w:hAnsi="Arial" w:cs="Arial"/>
          <w:noProof/>
          <w:sz w:val="24"/>
          <w:szCs w:val="24"/>
          <w14:ligatures w14:val="none"/>
        </w:rPr>
        <w:lastRenderedPageBreak/>
        <w:drawing>
          <wp:inline distT="0" distB="0" distL="0" distR="0" wp14:anchorId="279FEF8E" wp14:editId="32546FEE">
            <wp:extent cx="5759450" cy="8829675"/>
            <wp:effectExtent l="0" t="0" r="0" b="9525"/>
            <wp:docPr id="720902871" name="Picture 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02871" name="Picture 3" descr="A screenshot of a computer screen&#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8829675"/>
                    </a:xfrm>
                    <a:prstGeom prst="rect">
                      <a:avLst/>
                    </a:prstGeom>
                  </pic:spPr>
                </pic:pic>
              </a:graphicData>
            </a:graphic>
          </wp:inline>
        </w:drawing>
      </w:r>
    </w:p>
    <w:p w14:paraId="27CC295C" w14:textId="0DF681D6" w:rsidR="00BA1DAE" w:rsidRPr="005B36C8" w:rsidRDefault="00FE71AD" w:rsidP="00BA1DAE">
      <w:pPr>
        <w:jc w:val="center"/>
        <w:rPr>
          <w:rFonts w:ascii="Arial" w:hAnsi="Arial" w:cs="Arial"/>
          <w:sz w:val="24"/>
          <w:szCs w:val="24"/>
        </w:rPr>
      </w:pPr>
      <w:r>
        <w:rPr>
          <w:rFonts w:ascii="Arial" w:hAnsi="Arial" w:cs="Arial"/>
          <w:noProof/>
          <w:sz w:val="24"/>
          <w:szCs w:val="24"/>
          <w14:ligatures w14:val="none"/>
        </w:rPr>
        <w:lastRenderedPageBreak/>
        <w:drawing>
          <wp:inline distT="0" distB="0" distL="0" distR="0" wp14:anchorId="44DF9FD2" wp14:editId="424D80D6">
            <wp:extent cx="5759450" cy="8845550"/>
            <wp:effectExtent l="0" t="0" r="0" b="0"/>
            <wp:docPr id="1887377795" name="Picture 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77795" name="Picture 4" descr="A screenshot of a computer screen&#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9450" cy="8845550"/>
                    </a:xfrm>
                    <a:prstGeom prst="rect">
                      <a:avLst/>
                    </a:prstGeom>
                  </pic:spPr>
                </pic:pic>
              </a:graphicData>
            </a:graphic>
          </wp:inline>
        </w:drawing>
      </w:r>
    </w:p>
    <w:p w14:paraId="5E5B6724" w14:textId="11F1C34C" w:rsidR="00BA1DAE" w:rsidRPr="005B36C8" w:rsidRDefault="00FE71AD" w:rsidP="00BA1DAE">
      <w:pPr>
        <w:rPr>
          <w:rFonts w:ascii="Arial" w:hAnsi="Arial" w:cs="Arial"/>
          <w:sz w:val="24"/>
          <w:szCs w:val="24"/>
        </w:rPr>
      </w:pPr>
      <w:r>
        <w:rPr>
          <w:rFonts w:ascii="Arial" w:hAnsi="Arial" w:cs="Arial"/>
          <w:noProof/>
          <w:sz w:val="24"/>
          <w:szCs w:val="24"/>
          <w14:ligatures w14:val="none"/>
        </w:rPr>
        <w:lastRenderedPageBreak/>
        <w:drawing>
          <wp:inline distT="0" distB="0" distL="0" distR="0" wp14:anchorId="02DDE300" wp14:editId="448520F0">
            <wp:extent cx="5759450" cy="8852535"/>
            <wp:effectExtent l="0" t="0" r="0" b="5715"/>
            <wp:docPr id="327040591" name="Picture 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40591" name="Picture 5" descr="A screenshot of a computer screen&#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8852535"/>
                    </a:xfrm>
                    <a:prstGeom prst="rect">
                      <a:avLst/>
                    </a:prstGeom>
                  </pic:spPr>
                </pic:pic>
              </a:graphicData>
            </a:graphic>
          </wp:inline>
        </w:drawing>
      </w:r>
    </w:p>
    <w:p w14:paraId="7390BD2C" w14:textId="0303CA64" w:rsidR="00A76B62" w:rsidRPr="005B36C8" w:rsidRDefault="00FE71AD" w:rsidP="00A51A86">
      <w:pPr>
        <w:rPr>
          <w:b/>
          <w:bCs/>
          <w:sz w:val="20"/>
          <w:szCs w:val="20"/>
        </w:rPr>
      </w:pPr>
      <w:r>
        <w:rPr>
          <w:b/>
          <w:bCs/>
          <w:noProof/>
          <w:sz w:val="20"/>
          <w:szCs w:val="20"/>
          <w14:ligatures w14:val="none"/>
        </w:rPr>
        <w:lastRenderedPageBreak/>
        <w:drawing>
          <wp:inline distT="0" distB="0" distL="0" distR="0" wp14:anchorId="437821D7" wp14:editId="11E2CAA7">
            <wp:extent cx="5759450" cy="4185285"/>
            <wp:effectExtent l="0" t="0" r="0" b="5715"/>
            <wp:docPr id="586785971" name="Picture 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85971" name="Picture 6" descr="A screenshot of a computer scree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4185285"/>
                    </a:xfrm>
                    <a:prstGeom prst="rect">
                      <a:avLst/>
                    </a:prstGeom>
                  </pic:spPr>
                </pic:pic>
              </a:graphicData>
            </a:graphic>
          </wp:inline>
        </w:drawing>
      </w:r>
    </w:p>
    <w:p w14:paraId="529FC101" w14:textId="159F86FF" w:rsidR="00B322FE" w:rsidRPr="005B36C8" w:rsidRDefault="00BA1DAE" w:rsidP="00A51A86">
      <w:pPr>
        <w:spacing w:after="0" w:line="276" w:lineRule="auto"/>
        <w:jc w:val="both"/>
        <w:rPr>
          <w:rFonts w:ascii="Arial" w:hAnsi="Arial" w:cs="Arial"/>
          <w:sz w:val="20"/>
          <w:szCs w:val="20"/>
        </w:rPr>
      </w:pPr>
      <w:r w:rsidRPr="005B36C8">
        <w:rPr>
          <w:rFonts w:ascii="Arial" w:hAnsi="Arial" w:cs="Arial"/>
          <w:b/>
          <w:bCs/>
          <w:sz w:val="20"/>
          <w:szCs w:val="20"/>
        </w:rPr>
        <w:t xml:space="preserve">Figure </w:t>
      </w:r>
      <w:r w:rsidR="008D1788">
        <w:rPr>
          <w:rFonts w:ascii="Arial" w:hAnsi="Arial" w:cs="Arial"/>
          <w:b/>
          <w:bCs/>
          <w:sz w:val="20"/>
          <w:szCs w:val="20"/>
        </w:rPr>
        <w:t>S</w:t>
      </w:r>
      <w:r w:rsidR="008D1788" w:rsidRPr="005B36C8">
        <w:rPr>
          <w:rFonts w:ascii="Arial" w:hAnsi="Arial" w:cs="Arial"/>
          <w:b/>
          <w:bCs/>
          <w:sz w:val="20"/>
          <w:szCs w:val="20"/>
        </w:rPr>
        <w:t>2</w:t>
      </w:r>
      <w:r w:rsidRPr="005B36C8">
        <w:rPr>
          <w:rFonts w:ascii="Arial" w:hAnsi="Arial" w:cs="Arial"/>
          <w:b/>
          <w:bCs/>
          <w:sz w:val="20"/>
          <w:szCs w:val="20"/>
        </w:rPr>
        <w:t xml:space="preserve">. Full-length sequence alignment of several eukaryotic homologues of the RNase II/RNB family of exoribonucleases, highlighting mutated residues. </w:t>
      </w:r>
      <w:r w:rsidRPr="005B36C8">
        <w:rPr>
          <w:rFonts w:ascii="Arial" w:hAnsi="Arial" w:cs="Arial"/>
          <w:sz w:val="20"/>
          <w:szCs w:val="20"/>
        </w:rPr>
        <w:t xml:space="preserve">The multiple sequence alignment was built using the default T-Coffee parameters and the amino acid sequences of </w:t>
      </w:r>
      <w:r w:rsidR="00832BF0" w:rsidRPr="005B36C8">
        <w:rPr>
          <w:rFonts w:ascii="Arial" w:hAnsi="Arial" w:cs="Arial"/>
          <w:sz w:val="20"/>
          <w:szCs w:val="20"/>
        </w:rPr>
        <w:t xml:space="preserve">the protein </w:t>
      </w:r>
      <w:r w:rsidRPr="005B36C8">
        <w:rPr>
          <w:rFonts w:ascii="Arial" w:hAnsi="Arial" w:cs="Arial"/>
          <w:sz w:val="20"/>
          <w:szCs w:val="20"/>
        </w:rPr>
        <w:t>homologues of the RNase II/RNB family</w:t>
      </w:r>
      <w:r w:rsidR="00832BF0" w:rsidRPr="005B36C8">
        <w:rPr>
          <w:rFonts w:ascii="Arial" w:hAnsi="Arial" w:cs="Arial"/>
          <w:sz w:val="20"/>
          <w:szCs w:val="20"/>
        </w:rPr>
        <w:t xml:space="preserve"> from the following species</w:t>
      </w:r>
      <w:r w:rsidRPr="005B36C8">
        <w:rPr>
          <w:rFonts w:ascii="Arial" w:hAnsi="Arial" w:cs="Arial"/>
          <w:sz w:val="20"/>
          <w:szCs w:val="20"/>
        </w:rPr>
        <w:t>:</w:t>
      </w:r>
      <w:r w:rsidR="00832BF0" w:rsidRPr="005B36C8">
        <w:rPr>
          <w:rFonts w:ascii="Arial" w:hAnsi="Arial" w:cs="Arial"/>
          <w:sz w:val="20"/>
          <w:szCs w:val="20"/>
        </w:rPr>
        <w:t xml:space="preserve"> </w:t>
      </w:r>
      <w:proofErr w:type="spellStart"/>
      <w:r w:rsidR="00832BF0" w:rsidRPr="005B36C8">
        <w:rPr>
          <w:rFonts w:ascii="Arial" w:hAnsi="Arial" w:cs="Arial"/>
          <w:i/>
          <w:iCs/>
          <w:sz w:val="20"/>
          <w:szCs w:val="20"/>
        </w:rPr>
        <w:t>Schizosaccharomyces</w:t>
      </w:r>
      <w:proofErr w:type="spellEnd"/>
      <w:r w:rsidR="00832BF0" w:rsidRPr="005B36C8">
        <w:rPr>
          <w:rFonts w:ascii="Arial" w:hAnsi="Arial" w:cs="Arial"/>
          <w:i/>
          <w:iCs/>
          <w:sz w:val="20"/>
          <w:szCs w:val="20"/>
        </w:rPr>
        <w:t xml:space="preserve"> pombe</w:t>
      </w:r>
      <w:r w:rsidR="00832BF0" w:rsidRPr="005B36C8">
        <w:rPr>
          <w:rFonts w:ascii="Arial" w:hAnsi="Arial" w:cs="Arial"/>
          <w:sz w:val="20"/>
          <w:szCs w:val="20"/>
        </w:rPr>
        <w:t xml:space="preserve"> (fission yeast) – SpDis3 (also named Rrp44, UniProt ID: P37202), and SpDis3L2 (UniProt ID: O14040); </w:t>
      </w:r>
      <w:r w:rsidR="00832BF0" w:rsidRPr="005B36C8">
        <w:rPr>
          <w:rFonts w:ascii="Arial" w:hAnsi="Arial" w:cs="Arial"/>
          <w:i/>
          <w:iCs/>
          <w:sz w:val="20"/>
          <w:szCs w:val="20"/>
        </w:rPr>
        <w:t>Saccharomyces cerevisiae</w:t>
      </w:r>
      <w:r w:rsidR="00832BF0" w:rsidRPr="005B36C8">
        <w:rPr>
          <w:rFonts w:ascii="Arial" w:hAnsi="Arial" w:cs="Arial"/>
          <w:sz w:val="20"/>
          <w:szCs w:val="20"/>
        </w:rPr>
        <w:t xml:space="preserve"> (budding yeast) – ScDis3 (also named Rrp44, UniProt ID: Q08162); </w:t>
      </w:r>
      <w:r w:rsidR="00832BF0" w:rsidRPr="005B36C8">
        <w:rPr>
          <w:rFonts w:ascii="Arial" w:hAnsi="Arial" w:cs="Arial"/>
          <w:i/>
          <w:iCs/>
          <w:sz w:val="20"/>
          <w:szCs w:val="20"/>
        </w:rPr>
        <w:t>Caenorhabditis elegans</w:t>
      </w:r>
      <w:r w:rsidR="00832BF0" w:rsidRPr="005B36C8">
        <w:rPr>
          <w:rFonts w:ascii="Arial" w:hAnsi="Arial" w:cs="Arial"/>
          <w:sz w:val="20"/>
          <w:szCs w:val="20"/>
        </w:rPr>
        <w:t xml:space="preserve"> (worm) – CeDis3 (also named Rrp44, UniProt ID: Q17632), and CeDis3L2 (UniProt ID: Q09568); </w:t>
      </w:r>
      <w:r w:rsidR="00832BF0" w:rsidRPr="005B36C8">
        <w:rPr>
          <w:rFonts w:ascii="Arial" w:hAnsi="Arial" w:cs="Arial"/>
          <w:i/>
          <w:iCs/>
          <w:sz w:val="20"/>
          <w:szCs w:val="20"/>
        </w:rPr>
        <w:t>Drosophila melanogaster</w:t>
      </w:r>
      <w:r w:rsidR="00832BF0" w:rsidRPr="005B36C8">
        <w:rPr>
          <w:rFonts w:ascii="Arial" w:hAnsi="Arial" w:cs="Arial"/>
          <w:sz w:val="20"/>
          <w:szCs w:val="20"/>
        </w:rPr>
        <w:t xml:space="preserve"> (fruit fly) – DmDis3 (UniProt ID: Q9VC93), and DmDis3L2 (UniProt ID: Q8IRJ7); </w:t>
      </w:r>
      <w:r w:rsidR="00832BF0" w:rsidRPr="005B36C8">
        <w:rPr>
          <w:rFonts w:ascii="Arial" w:hAnsi="Arial" w:cs="Arial"/>
          <w:i/>
          <w:iCs/>
          <w:sz w:val="20"/>
          <w:szCs w:val="20"/>
        </w:rPr>
        <w:t>Danio rerio</w:t>
      </w:r>
      <w:r w:rsidR="00832BF0" w:rsidRPr="005B36C8">
        <w:rPr>
          <w:rFonts w:ascii="Arial" w:hAnsi="Arial" w:cs="Arial"/>
          <w:sz w:val="20"/>
          <w:szCs w:val="20"/>
        </w:rPr>
        <w:t xml:space="preserve"> (zebrafish) – DrDis3 (UniProt ID: E7FE01), DrDis3L1 (UniProt ID: A2RV18), and DrDis3L2 (UniProt ID: E7F350); </w:t>
      </w:r>
      <w:r w:rsidR="00832BF0" w:rsidRPr="005B36C8">
        <w:rPr>
          <w:rFonts w:ascii="Arial" w:hAnsi="Arial" w:cs="Arial"/>
          <w:i/>
          <w:iCs/>
          <w:sz w:val="20"/>
          <w:szCs w:val="20"/>
        </w:rPr>
        <w:t>Xenopus tropicalis</w:t>
      </w:r>
      <w:r w:rsidR="00832BF0" w:rsidRPr="005B36C8">
        <w:rPr>
          <w:rFonts w:ascii="Arial" w:hAnsi="Arial" w:cs="Arial"/>
          <w:sz w:val="20"/>
          <w:szCs w:val="20"/>
        </w:rPr>
        <w:t xml:space="preserve"> (frog) – XtDis3 (UniProt ID: A0A6I8R570), XtDis3L1 (UniProt ID: Q0P4R5), and XtDis3L2 (UniProt ID: A0A6I8R0A9); </w:t>
      </w:r>
      <w:r w:rsidR="00832BF0" w:rsidRPr="005B36C8">
        <w:rPr>
          <w:rFonts w:ascii="Arial" w:hAnsi="Arial" w:cs="Arial"/>
          <w:i/>
          <w:iCs/>
          <w:sz w:val="20"/>
          <w:szCs w:val="20"/>
        </w:rPr>
        <w:t xml:space="preserve">Gallus </w:t>
      </w:r>
      <w:proofErr w:type="spellStart"/>
      <w:r w:rsidR="00832BF0" w:rsidRPr="005B36C8">
        <w:rPr>
          <w:rFonts w:ascii="Arial" w:hAnsi="Arial" w:cs="Arial"/>
          <w:i/>
          <w:iCs/>
          <w:sz w:val="20"/>
          <w:szCs w:val="20"/>
        </w:rPr>
        <w:t>gallus</w:t>
      </w:r>
      <w:proofErr w:type="spellEnd"/>
      <w:r w:rsidR="00832BF0" w:rsidRPr="005B36C8">
        <w:rPr>
          <w:rFonts w:ascii="Arial" w:hAnsi="Arial" w:cs="Arial"/>
          <w:sz w:val="20"/>
          <w:szCs w:val="20"/>
        </w:rPr>
        <w:t xml:space="preserve"> (chicken) – GgDis3 (UniProt ID: A0A8V0X405), GgDis3L1 (UniProt ID: A0A8V0Z3V0), and GgDis3L2 (UniProt ID: A0A8V0Z2M1); </w:t>
      </w:r>
      <w:r w:rsidR="00832BF0" w:rsidRPr="005B36C8">
        <w:rPr>
          <w:rFonts w:ascii="Arial" w:hAnsi="Arial" w:cs="Arial"/>
          <w:i/>
          <w:iCs/>
          <w:sz w:val="20"/>
          <w:szCs w:val="20"/>
        </w:rPr>
        <w:t>Mus musculus</w:t>
      </w:r>
      <w:r w:rsidR="00832BF0" w:rsidRPr="005B36C8">
        <w:rPr>
          <w:rFonts w:ascii="Arial" w:hAnsi="Arial" w:cs="Arial"/>
          <w:sz w:val="20"/>
          <w:szCs w:val="20"/>
        </w:rPr>
        <w:t xml:space="preserve"> (mouse) – MmDis3 (also named mDis3 or Rrp44, UniProt ID: Q9CSH3), MmDis3L1 (also named mDis3L1, UniProt ID: Q8C0S1-1), and MmDis3L2 (also named mDis3L2, UniProt ID: Q8CI75-1); </w:t>
      </w:r>
      <w:r w:rsidR="00832BF0" w:rsidRPr="005B36C8">
        <w:rPr>
          <w:rFonts w:ascii="Arial" w:hAnsi="Arial" w:cs="Arial"/>
          <w:i/>
          <w:iCs/>
          <w:sz w:val="20"/>
          <w:szCs w:val="20"/>
        </w:rPr>
        <w:t>Homo sapiens</w:t>
      </w:r>
      <w:r w:rsidR="00832BF0" w:rsidRPr="005B36C8">
        <w:rPr>
          <w:rFonts w:ascii="Arial" w:hAnsi="Arial" w:cs="Arial"/>
          <w:sz w:val="20"/>
          <w:szCs w:val="20"/>
        </w:rPr>
        <w:t xml:space="preserve"> (human) – HsDis3 (also named hDIS3 or RRP44, UniProt ID: Q9Y2L1-1), HsDis3L1 (also named hDIS3L1, UniProt ID: Q8TF46-1), and HsDis3L2 (also named hDIS3L2, UniProt ID: Q8IYB7-1); </w:t>
      </w:r>
      <w:r w:rsidR="00832BF0" w:rsidRPr="005B36C8">
        <w:rPr>
          <w:rFonts w:ascii="Arial" w:hAnsi="Arial" w:cs="Arial"/>
          <w:i/>
          <w:iCs/>
          <w:sz w:val="20"/>
          <w:szCs w:val="20"/>
        </w:rPr>
        <w:t>Arabidopsis thaliana</w:t>
      </w:r>
      <w:r w:rsidR="00832BF0" w:rsidRPr="005B36C8">
        <w:rPr>
          <w:rFonts w:ascii="Arial" w:hAnsi="Arial" w:cs="Arial"/>
          <w:sz w:val="20"/>
          <w:szCs w:val="20"/>
        </w:rPr>
        <w:t xml:space="preserve"> (flowering plant) – AtDis3 (also named RRP44A, UniProt ID: Q9SHL7), and AtDis3L2 (also named SOV, UniProt ID: P0DM58).</w:t>
      </w:r>
      <w:r w:rsidRPr="005B36C8">
        <w:rPr>
          <w:rFonts w:ascii="Arial" w:hAnsi="Arial" w:cs="Arial"/>
          <w:sz w:val="20"/>
          <w:szCs w:val="20"/>
        </w:rPr>
        <w:t xml:space="preserve"> This final figure was constructed using </w:t>
      </w:r>
      <w:proofErr w:type="spellStart"/>
      <w:r w:rsidRPr="005B36C8">
        <w:rPr>
          <w:rFonts w:ascii="Arial" w:hAnsi="Arial" w:cs="Arial"/>
          <w:sz w:val="20"/>
          <w:szCs w:val="20"/>
        </w:rPr>
        <w:t>ESPript</w:t>
      </w:r>
      <w:proofErr w:type="spellEnd"/>
      <w:r w:rsidRPr="005B36C8">
        <w:rPr>
          <w:rFonts w:ascii="Arial" w:hAnsi="Arial" w:cs="Arial"/>
          <w:sz w:val="20"/>
          <w:szCs w:val="20"/>
        </w:rPr>
        <w:t xml:space="preserve"> 3.0 v.4.0.</w:t>
      </w:r>
      <w:r w:rsidR="00832BF0" w:rsidRPr="005B36C8">
        <w:rPr>
          <w:rFonts w:ascii="Arial" w:hAnsi="Arial" w:cs="Arial"/>
          <w:sz w:val="20"/>
          <w:szCs w:val="20"/>
        </w:rPr>
        <w:t>26</w:t>
      </w:r>
      <w:r w:rsidRPr="005B36C8">
        <w:rPr>
          <w:rFonts w:ascii="Arial" w:hAnsi="Arial" w:cs="Arial"/>
          <w:sz w:val="20"/>
          <w:szCs w:val="20"/>
        </w:rPr>
        <w:t>. Residues are colo</w:t>
      </w:r>
      <w:r w:rsidR="005D2781" w:rsidRPr="005B36C8">
        <w:rPr>
          <w:rFonts w:ascii="Arial" w:hAnsi="Arial" w:cs="Arial"/>
          <w:sz w:val="20"/>
          <w:szCs w:val="20"/>
        </w:rPr>
        <w:t>u</w:t>
      </w:r>
      <w:r w:rsidRPr="005B36C8">
        <w:rPr>
          <w:rFonts w:ascii="Arial" w:hAnsi="Arial" w:cs="Arial"/>
          <w:sz w:val="20"/>
          <w:szCs w:val="20"/>
        </w:rPr>
        <w:t>r-co</w:t>
      </w:r>
      <w:r w:rsidR="005D2781" w:rsidRPr="005B36C8">
        <w:rPr>
          <w:rFonts w:ascii="Arial" w:hAnsi="Arial" w:cs="Arial"/>
          <w:sz w:val="20"/>
          <w:szCs w:val="20"/>
        </w:rPr>
        <w:t>ded</w:t>
      </w:r>
      <w:r w:rsidRPr="005B36C8">
        <w:rPr>
          <w:rFonts w:ascii="Arial" w:hAnsi="Arial" w:cs="Arial"/>
          <w:sz w:val="20"/>
          <w:szCs w:val="20"/>
        </w:rPr>
        <w:t xml:space="preserve"> in grey scale according to their amino acid conservation: black boxes are positions with identical residues in all proteins; white boxes with bold lettering are positions with residues with similar properties. The colo</w:t>
      </w:r>
      <w:r w:rsidR="005D2781" w:rsidRPr="005B36C8">
        <w:rPr>
          <w:rFonts w:ascii="Arial" w:hAnsi="Arial" w:cs="Arial"/>
          <w:sz w:val="20"/>
          <w:szCs w:val="20"/>
        </w:rPr>
        <w:t>u</w:t>
      </w:r>
      <w:r w:rsidRPr="005B36C8">
        <w:rPr>
          <w:rFonts w:ascii="Arial" w:hAnsi="Arial" w:cs="Arial"/>
          <w:sz w:val="20"/>
          <w:szCs w:val="20"/>
        </w:rPr>
        <w:t xml:space="preserve">red rectangular boxes under the alignment indicate in which protein domain each region is located, </w:t>
      </w:r>
      <w:r w:rsidR="00791520" w:rsidRPr="005B36C8">
        <w:rPr>
          <w:rFonts w:ascii="Arial" w:hAnsi="Arial" w:cs="Arial"/>
          <w:sz w:val="20"/>
          <w:szCs w:val="20"/>
        </w:rPr>
        <w:t xml:space="preserve">using SpDis3L2 positions and </w:t>
      </w:r>
      <w:proofErr w:type="gramStart"/>
      <w:r w:rsidR="00A51A86" w:rsidRPr="005B36C8">
        <w:rPr>
          <w:rFonts w:ascii="Arial" w:hAnsi="Arial" w:cs="Arial"/>
          <w:sz w:val="20"/>
          <w:szCs w:val="20"/>
        </w:rPr>
        <w:t>colour-coded</w:t>
      </w:r>
      <w:proofErr w:type="gramEnd"/>
      <w:r w:rsidRPr="005B36C8">
        <w:rPr>
          <w:rFonts w:ascii="Arial" w:hAnsi="Arial" w:cs="Arial"/>
          <w:sz w:val="20"/>
          <w:szCs w:val="20"/>
        </w:rPr>
        <w:t xml:space="preserve"> as in </w:t>
      </w:r>
      <w:r w:rsidRPr="004F779B">
        <w:rPr>
          <w:rFonts w:ascii="Arial" w:hAnsi="Arial" w:cs="Arial"/>
          <w:color w:val="000000" w:themeColor="text1"/>
          <w:sz w:val="20"/>
          <w:szCs w:val="20"/>
        </w:rPr>
        <w:t>Figure 1.</w:t>
      </w:r>
      <w:r w:rsidRPr="005B36C8">
        <w:rPr>
          <w:rFonts w:ascii="Arial" w:hAnsi="Arial" w:cs="Arial"/>
          <w:color w:val="000000" w:themeColor="text1"/>
          <w:sz w:val="20"/>
          <w:szCs w:val="20"/>
        </w:rPr>
        <w:t xml:space="preserve"> </w:t>
      </w:r>
      <w:r w:rsidRPr="005B36C8">
        <w:rPr>
          <w:rFonts w:ascii="Arial" w:hAnsi="Arial" w:cs="Arial"/>
          <w:sz w:val="20"/>
          <w:szCs w:val="20"/>
        </w:rPr>
        <w:t xml:space="preserve">The two dark blue boxes in the RNB domain denote the four aspartic acid residues (D) of the active site of the enzymes, which are conserved in the RNB domain and essential for its exonucleolytic function. The second dark blue box includes the key residue that distinguishes the amino acid signature of </w:t>
      </w:r>
      <w:r w:rsidR="00832BF0" w:rsidRPr="005B36C8">
        <w:rPr>
          <w:rFonts w:ascii="Arial" w:hAnsi="Arial" w:cs="Arial"/>
          <w:sz w:val="20"/>
          <w:szCs w:val="20"/>
        </w:rPr>
        <w:t xml:space="preserve">the catalytic </w:t>
      </w:r>
      <w:proofErr w:type="spellStart"/>
      <w:r w:rsidR="00832BF0" w:rsidRPr="005B36C8">
        <w:rPr>
          <w:rFonts w:ascii="Arial" w:hAnsi="Arial" w:cs="Arial"/>
          <w:sz w:val="20"/>
          <w:szCs w:val="20"/>
        </w:rPr>
        <w:t>center</w:t>
      </w:r>
      <w:proofErr w:type="spellEnd"/>
      <w:r w:rsidR="00832BF0" w:rsidRPr="005B36C8">
        <w:rPr>
          <w:rFonts w:ascii="Arial" w:hAnsi="Arial" w:cs="Arial"/>
          <w:sz w:val="20"/>
          <w:szCs w:val="20"/>
        </w:rPr>
        <w:t xml:space="preserve"> of </w:t>
      </w:r>
      <w:r w:rsidRPr="005B36C8">
        <w:rPr>
          <w:rFonts w:ascii="Arial" w:hAnsi="Arial" w:cs="Arial"/>
          <w:sz w:val="20"/>
          <w:szCs w:val="20"/>
        </w:rPr>
        <w:t>the three paralogues: D</w:t>
      </w:r>
      <w:r w:rsidRPr="005B36C8">
        <w:rPr>
          <w:rFonts w:ascii="Arial" w:hAnsi="Arial" w:cs="Arial"/>
          <w:sz w:val="20"/>
          <w:szCs w:val="20"/>
          <w:u w:val="single"/>
        </w:rPr>
        <w:t>L</w:t>
      </w:r>
      <w:r w:rsidRPr="005B36C8">
        <w:rPr>
          <w:rFonts w:ascii="Arial" w:hAnsi="Arial" w:cs="Arial"/>
          <w:sz w:val="20"/>
          <w:szCs w:val="20"/>
        </w:rPr>
        <w:t>DD for Dis3L2, D</w:t>
      </w:r>
      <w:r w:rsidRPr="005B36C8">
        <w:rPr>
          <w:rFonts w:ascii="Arial" w:hAnsi="Arial" w:cs="Arial"/>
          <w:sz w:val="20"/>
          <w:szCs w:val="20"/>
          <w:u w:val="single"/>
        </w:rPr>
        <w:t>I</w:t>
      </w:r>
      <w:r w:rsidRPr="005B36C8">
        <w:rPr>
          <w:rFonts w:ascii="Arial" w:hAnsi="Arial" w:cs="Arial"/>
          <w:sz w:val="20"/>
          <w:szCs w:val="20"/>
        </w:rPr>
        <w:t>DD for Dis3, and D</w:t>
      </w:r>
      <w:r w:rsidRPr="005B36C8">
        <w:rPr>
          <w:rFonts w:ascii="Arial" w:hAnsi="Arial" w:cs="Arial"/>
          <w:sz w:val="20"/>
          <w:szCs w:val="20"/>
          <w:u w:val="single"/>
        </w:rPr>
        <w:t>V</w:t>
      </w:r>
      <w:r w:rsidRPr="005B36C8">
        <w:rPr>
          <w:rFonts w:ascii="Arial" w:hAnsi="Arial" w:cs="Arial"/>
          <w:sz w:val="20"/>
          <w:szCs w:val="20"/>
        </w:rPr>
        <w:t xml:space="preserve">DD for Dis3L1 proteins. </w:t>
      </w:r>
      <w:r w:rsidR="00832BF0" w:rsidRPr="005B36C8">
        <w:rPr>
          <w:rFonts w:ascii="Arial" w:hAnsi="Arial" w:cs="Arial"/>
          <w:sz w:val="20"/>
          <w:szCs w:val="20"/>
        </w:rPr>
        <w:t xml:space="preserve">A </w:t>
      </w:r>
      <w:r w:rsidR="00A51A86" w:rsidRPr="005B36C8">
        <w:rPr>
          <w:rFonts w:ascii="Arial" w:hAnsi="Arial" w:cs="Arial"/>
          <w:sz w:val="20"/>
          <w:szCs w:val="20"/>
        </w:rPr>
        <w:t>comprehensive</w:t>
      </w:r>
      <w:r w:rsidR="00832BF0" w:rsidRPr="005B36C8">
        <w:rPr>
          <w:rFonts w:ascii="Arial" w:hAnsi="Arial" w:cs="Arial"/>
          <w:sz w:val="20"/>
          <w:szCs w:val="20"/>
        </w:rPr>
        <w:t xml:space="preserve"> analysis of different consensus </w:t>
      </w:r>
      <w:r w:rsidR="00832BF0" w:rsidRPr="005B36C8">
        <w:rPr>
          <w:rFonts w:ascii="Arial" w:hAnsi="Arial" w:cs="Arial"/>
          <w:sz w:val="20"/>
          <w:szCs w:val="20"/>
        </w:rPr>
        <w:lastRenderedPageBreak/>
        <w:t>sequences for the catalytic residues of Dis3-like proteins was recently published, showing that there are exceptions, namely</w:t>
      </w:r>
      <w:r w:rsidR="00A51A86" w:rsidRPr="005B36C8">
        <w:rPr>
          <w:rFonts w:ascii="Arial" w:hAnsi="Arial" w:cs="Arial"/>
          <w:sz w:val="20"/>
          <w:szCs w:val="20"/>
        </w:rPr>
        <w:t>,</w:t>
      </w:r>
      <w:r w:rsidR="00832BF0" w:rsidRPr="005B36C8">
        <w:rPr>
          <w:rFonts w:ascii="Arial" w:hAnsi="Arial" w:cs="Arial"/>
          <w:sz w:val="20"/>
          <w:szCs w:val="20"/>
        </w:rPr>
        <w:t xml:space="preserve"> many Dis3L1 proteins have a D</w:t>
      </w:r>
      <w:r w:rsidR="00832BF0" w:rsidRPr="005B36C8">
        <w:rPr>
          <w:rFonts w:ascii="Arial" w:hAnsi="Arial" w:cs="Arial"/>
          <w:sz w:val="20"/>
          <w:szCs w:val="20"/>
          <w:u w:val="single"/>
        </w:rPr>
        <w:t>I</w:t>
      </w:r>
      <w:r w:rsidR="00832BF0" w:rsidRPr="005B36C8">
        <w:rPr>
          <w:rFonts w:ascii="Arial" w:hAnsi="Arial" w:cs="Arial"/>
          <w:sz w:val="20"/>
          <w:szCs w:val="20"/>
        </w:rPr>
        <w:t>DD catalytic motif</w:t>
      </w:r>
      <w:r w:rsidR="005B36C8">
        <w:rPr>
          <w:rFonts w:ascii="Arial" w:hAnsi="Arial" w:cs="Arial"/>
          <w:sz w:val="20"/>
          <w:szCs w:val="20"/>
        </w:rPr>
        <w:t xml:space="preserve"> </w:t>
      </w:r>
      <w:r w:rsidR="00832BF0" w:rsidRPr="009823D2">
        <w:rPr>
          <w:rFonts w:ascii="Arial" w:hAnsi="Arial" w:cs="Arial"/>
          <w:sz w:val="20"/>
          <w:szCs w:val="20"/>
        </w:rPr>
        <w:t>(</w:t>
      </w:r>
      <w:r w:rsidR="009823D2" w:rsidRPr="009823D2">
        <w:rPr>
          <w:rFonts w:ascii="Arial" w:hAnsi="Arial" w:cs="Arial"/>
          <w:sz w:val="20"/>
          <w:szCs w:val="20"/>
        </w:rPr>
        <w:t xml:space="preserve">Ballou </w:t>
      </w:r>
      <w:r w:rsidR="009823D2" w:rsidRPr="009823D2">
        <w:rPr>
          <w:rFonts w:ascii="Arial" w:hAnsi="Arial" w:cs="Arial"/>
          <w:i/>
          <w:iCs/>
          <w:sz w:val="20"/>
          <w:szCs w:val="20"/>
        </w:rPr>
        <w:t>et al.</w:t>
      </w:r>
      <w:r w:rsidR="009823D2" w:rsidRPr="009823D2">
        <w:rPr>
          <w:rFonts w:ascii="Arial" w:hAnsi="Arial" w:cs="Arial"/>
          <w:sz w:val="20"/>
          <w:szCs w:val="20"/>
        </w:rPr>
        <w:t xml:space="preserve">, 2021; </w:t>
      </w:r>
      <w:r w:rsidR="009823D2" w:rsidRPr="009823D2">
        <w:rPr>
          <w:rFonts w:ascii="Arial" w:hAnsi="Arial" w:cs="Arial"/>
          <w:i/>
          <w:iCs/>
          <w:sz w:val="20"/>
          <w:szCs w:val="20"/>
        </w:rPr>
        <w:t>Mol. Biol. Evol.</w:t>
      </w:r>
      <w:r w:rsidR="009823D2" w:rsidRPr="009823D2">
        <w:rPr>
          <w:rFonts w:ascii="Arial" w:hAnsi="Arial" w:cs="Arial"/>
          <w:sz w:val="20"/>
          <w:szCs w:val="20"/>
        </w:rPr>
        <w:t xml:space="preserve"> 38(5):1837-1846</w:t>
      </w:r>
      <w:r w:rsidR="009823D2">
        <w:rPr>
          <w:rFonts w:ascii="Arial" w:hAnsi="Arial" w:cs="Arial"/>
          <w:sz w:val="20"/>
          <w:szCs w:val="20"/>
        </w:rPr>
        <w:t>;</w:t>
      </w:r>
      <w:r w:rsidR="009823D2" w:rsidRPr="009823D2">
        <w:rPr>
          <w:rFonts w:ascii="Arial" w:hAnsi="Arial" w:cs="Arial"/>
          <w:sz w:val="20"/>
          <w:szCs w:val="20"/>
        </w:rPr>
        <w:t xml:space="preserve"> </w:t>
      </w:r>
      <w:proofErr w:type="spellStart"/>
      <w:r w:rsidR="009823D2" w:rsidRPr="009823D2">
        <w:rPr>
          <w:rFonts w:ascii="Arial" w:hAnsi="Arial" w:cs="Arial"/>
          <w:sz w:val="20"/>
          <w:szCs w:val="20"/>
        </w:rPr>
        <w:t>doi</w:t>
      </w:r>
      <w:proofErr w:type="spellEnd"/>
      <w:r w:rsidR="009823D2" w:rsidRPr="009823D2">
        <w:rPr>
          <w:rFonts w:ascii="Arial" w:hAnsi="Arial" w:cs="Arial"/>
          <w:sz w:val="20"/>
          <w:szCs w:val="20"/>
        </w:rPr>
        <w:t>: 10.1093/</w:t>
      </w:r>
      <w:proofErr w:type="spellStart"/>
      <w:r w:rsidR="009823D2" w:rsidRPr="009823D2">
        <w:rPr>
          <w:rFonts w:ascii="Arial" w:hAnsi="Arial" w:cs="Arial"/>
          <w:sz w:val="20"/>
          <w:szCs w:val="20"/>
        </w:rPr>
        <w:t>molbev</w:t>
      </w:r>
      <w:proofErr w:type="spellEnd"/>
      <w:r w:rsidR="009823D2" w:rsidRPr="009823D2">
        <w:rPr>
          <w:rFonts w:ascii="Arial" w:hAnsi="Arial" w:cs="Arial"/>
          <w:sz w:val="20"/>
          <w:szCs w:val="20"/>
        </w:rPr>
        <w:t>/msaa324</w:t>
      </w:r>
      <w:r w:rsidR="00832BF0" w:rsidRPr="009823D2">
        <w:rPr>
          <w:rFonts w:ascii="Arial" w:hAnsi="Arial" w:cs="Arial"/>
          <w:sz w:val="20"/>
          <w:szCs w:val="20"/>
        </w:rPr>
        <w:t>).</w:t>
      </w:r>
      <w:r w:rsidR="00832BF0" w:rsidRPr="005B36C8">
        <w:rPr>
          <w:rFonts w:ascii="Arial" w:hAnsi="Arial" w:cs="Arial"/>
          <w:sz w:val="20"/>
          <w:szCs w:val="20"/>
        </w:rPr>
        <w:t xml:space="preserve"> </w:t>
      </w:r>
      <w:r w:rsidRPr="005B36C8">
        <w:rPr>
          <w:rFonts w:ascii="Arial" w:hAnsi="Arial" w:cs="Arial"/>
          <w:sz w:val="20"/>
          <w:szCs w:val="20"/>
        </w:rPr>
        <w:t>The positions modified in SpDis3L2 in this work are outlined in red, and the respective substitutions are referred above</w:t>
      </w:r>
      <w:r w:rsidR="0008256F" w:rsidRPr="005B36C8">
        <w:rPr>
          <w:rFonts w:ascii="Arial" w:hAnsi="Arial" w:cs="Arial"/>
          <w:sz w:val="20"/>
          <w:szCs w:val="20"/>
        </w:rPr>
        <w:t xml:space="preserve"> the </w:t>
      </w:r>
      <w:r w:rsidR="00294B65" w:rsidRPr="005B36C8">
        <w:rPr>
          <w:rFonts w:ascii="Arial" w:hAnsi="Arial" w:cs="Arial"/>
          <w:sz w:val="20"/>
          <w:szCs w:val="20"/>
        </w:rPr>
        <w:t xml:space="preserve">respective </w:t>
      </w:r>
      <w:r w:rsidR="0008256F" w:rsidRPr="005B36C8">
        <w:rPr>
          <w:rFonts w:ascii="Arial" w:hAnsi="Arial" w:cs="Arial"/>
          <w:sz w:val="20"/>
          <w:szCs w:val="20"/>
        </w:rPr>
        <w:t>residue</w:t>
      </w:r>
      <w:r w:rsidR="00294B65" w:rsidRPr="005B36C8">
        <w:rPr>
          <w:rFonts w:ascii="Arial" w:hAnsi="Arial" w:cs="Arial"/>
          <w:sz w:val="20"/>
          <w:szCs w:val="20"/>
        </w:rPr>
        <w:t xml:space="preserve">s – </w:t>
      </w:r>
      <w:r w:rsidRPr="005B36C8">
        <w:rPr>
          <w:rFonts w:ascii="Arial" w:hAnsi="Arial" w:cs="Arial"/>
          <w:sz w:val="20"/>
          <w:szCs w:val="20"/>
        </w:rPr>
        <w:t xml:space="preserve">D461N (catalytically inactive), C560Y, </w:t>
      </w:r>
      <w:r w:rsidR="00832BF0" w:rsidRPr="005B36C8">
        <w:rPr>
          <w:rFonts w:ascii="Arial" w:hAnsi="Arial" w:cs="Arial"/>
          <w:sz w:val="20"/>
          <w:szCs w:val="20"/>
        </w:rPr>
        <w:t xml:space="preserve">and </w:t>
      </w:r>
      <w:r w:rsidRPr="005B36C8">
        <w:rPr>
          <w:rFonts w:ascii="Arial" w:hAnsi="Arial" w:cs="Arial"/>
          <w:sz w:val="20"/>
          <w:szCs w:val="20"/>
        </w:rPr>
        <w:t xml:space="preserve">A756R SpDis3L2 </w:t>
      </w:r>
      <w:r w:rsidR="00832BF0" w:rsidRPr="005B36C8">
        <w:rPr>
          <w:rFonts w:ascii="Arial" w:hAnsi="Arial" w:cs="Arial"/>
          <w:sz w:val="20"/>
          <w:szCs w:val="20"/>
        </w:rPr>
        <w:t>variants</w:t>
      </w:r>
      <w:r w:rsidRPr="005B36C8">
        <w:rPr>
          <w:rFonts w:ascii="Arial" w:hAnsi="Arial" w:cs="Arial"/>
          <w:sz w:val="20"/>
          <w:szCs w:val="20"/>
        </w:rPr>
        <w:t>.</w:t>
      </w:r>
      <w:r w:rsidR="00F71B9B" w:rsidRPr="005B36C8">
        <w:rPr>
          <w:rFonts w:ascii="Arial" w:hAnsi="Arial" w:cs="Arial"/>
          <w:sz w:val="20"/>
          <w:szCs w:val="20"/>
        </w:rPr>
        <w:t xml:space="preserve"> </w:t>
      </w:r>
      <w:r w:rsidR="005229CC" w:rsidRPr="005B36C8">
        <w:rPr>
          <w:rFonts w:ascii="Arial" w:hAnsi="Arial" w:cs="Arial"/>
          <w:sz w:val="20"/>
          <w:szCs w:val="20"/>
        </w:rPr>
        <w:t>The C560Y SpDis3L2 mutant mimics the C489Y hDIS3L2 mutant found in a patient with Perlman Syndrome. The A756R SpDis3L2 mutant mimics the G766R hDIS3 mutant found in a patient with Multiple Myeloma.</w:t>
      </w:r>
    </w:p>
    <w:p w14:paraId="62EDFC50" w14:textId="77777777" w:rsidR="00CD3B13" w:rsidRPr="005B36C8" w:rsidRDefault="00CD3B13" w:rsidP="00BA1DAE">
      <w:pPr>
        <w:spacing w:after="0" w:line="240" w:lineRule="auto"/>
        <w:jc w:val="both"/>
        <w:rPr>
          <w:sz w:val="20"/>
          <w:szCs w:val="20"/>
        </w:rPr>
      </w:pPr>
    </w:p>
    <w:p w14:paraId="30216E3D" w14:textId="50099B53" w:rsidR="00CD3B13" w:rsidRPr="005B36C8" w:rsidRDefault="00CD3B13" w:rsidP="00BA1DAE">
      <w:pPr>
        <w:spacing w:after="0" w:line="240" w:lineRule="auto"/>
        <w:jc w:val="both"/>
        <w:rPr>
          <w:sz w:val="20"/>
          <w:szCs w:val="20"/>
        </w:rPr>
      </w:pPr>
      <w:r w:rsidRPr="005B36C8">
        <w:rPr>
          <w:sz w:val="20"/>
          <w:szCs w:val="20"/>
        </w:rPr>
        <w:br w:type="page"/>
      </w:r>
    </w:p>
    <w:p w14:paraId="7E6B346C" w14:textId="73DF07A4" w:rsidR="00BA1DAE" w:rsidRPr="005B36C8" w:rsidRDefault="00FE71AD" w:rsidP="00BA1DAE">
      <w:pPr>
        <w:jc w:val="center"/>
        <w:rPr>
          <w:rFonts w:ascii="Arial" w:hAnsi="Arial" w:cs="Arial"/>
          <w:sz w:val="24"/>
          <w:szCs w:val="24"/>
        </w:rPr>
      </w:pPr>
      <w:r>
        <w:rPr>
          <w:rFonts w:ascii="Arial" w:hAnsi="Arial" w:cs="Arial"/>
          <w:noProof/>
          <w:sz w:val="24"/>
          <w:szCs w:val="24"/>
          <w14:ligatures w14:val="none"/>
        </w:rPr>
        <w:lastRenderedPageBreak/>
        <w:drawing>
          <wp:inline distT="0" distB="0" distL="0" distR="0" wp14:anchorId="4E3507B4" wp14:editId="26D47A93">
            <wp:extent cx="2259439" cy="3960000"/>
            <wp:effectExtent l="0" t="0" r="7620" b="2540"/>
            <wp:docPr id="620384755" name="Picture 7" descr="A close-up of a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84755" name="Picture 7" descr="A close-up of a tes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59439" cy="3960000"/>
                    </a:xfrm>
                    <a:prstGeom prst="rect">
                      <a:avLst/>
                    </a:prstGeom>
                  </pic:spPr>
                </pic:pic>
              </a:graphicData>
            </a:graphic>
          </wp:inline>
        </w:drawing>
      </w:r>
    </w:p>
    <w:p w14:paraId="71C71289" w14:textId="77777777" w:rsidR="00A76B62" w:rsidRPr="005B36C8" w:rsidRDefault="00A76B62" w:rsidP="00BA1DAE">
      <w:pPr>
        <w:spacing w:after="0" w:line="240" w:lineRule="auto"/>
        <w:jc w:val="both"/>
        <w:rPr>
          <w:b/>
          <w:bCs/>
          <w:sz w:val="20"/>
          <w:szCs w:val="20"/>
        </w:rPr>
      </w:pPr>
    </w:p>
    <w:p w14:paraId="7D1F02FC" w14:textId="0AF0FFD2" w:rsidR="00BA1DAE" w:rsidRPr="00CB7B5D" w:rsidRDefault="00BA1DAE" w:rsidP="00A51A86">
      <w:pPr>
        <w:spacing w:after="0" w:line="276" w:lineRule="auto"/>
        <w:jc w:val="both"/>
        <w:rPr>
          <w:rFonts w:ascii="Arial" w:hAnsi="Arial" w:cs="Arial"/>
          <w:sz w:val="20"/>
          <w:szCs w:val="20"/>
          <w:lang w:val="en-US"/>
        </w:rPr>
      </w:pPr>
      <w:r w:rsidRPr="005B36C8">
        <w:rPr>
          <w:rFonts w:ascii="Arial" w:hAnsi="Arial" w:cs="Arial"/>
          <w:b/>
          <w:bCs/>
          <w:sz w:val="20"/>
          <w:szCs w:val="20"/>
        </w:rPr>
        <w:t xml:space="preserve">Figure </w:t>
      </w:r>
      <w:r w:rsidR="008D1788">
        <w:rPr>
          <w:rFonts w:ascii="Arial" w:hAnsi="Arial" w:cs="Arial"/>
          <w:b/>
          <w:bCs/>
          <w:sz w:val="20"/>
          <w:szCs w:val="20"/>
        </w:rPr>
        <w:t>S</w:t>
      </w:r>
      <w:r w:rsidR="008D1788" w:rsidRPr="005B36C8">
        <w:rPr>
          <w:rFonts w:ascii="Arial" w:hAnsi="Arial" w:cs="Arial"/>
          <w:b/>
          <w:bCs/>
          <w:sz w:val="20"/>
          <w:szCs w:val="20"/>
        </w:rPr>
        <w:t>3</w:t>
      </w:r>
      <w:r w:rsidRPr="005B36C8">
        <w:rPr>
          <w:rFonts w:ascii="Arial" w:hAnsi="Arial" w:cs="Arial"/>
          <w:b/>
          <w:bCs/>
          <w:sz w:val="20"/>
          <w:szCs w:val="20"/>
        </w:rPr>
        <w:t xml:space="preserve">. Exoribonucleolytic activity of </w:t>
      </w:r>
      <w:r w:rsidRPr="005B36C8">
        <w:rPr>
          <w:rFonts w:ascii="Arial" w:hAnsi="Arial" w:cs="Arial"/>
          <w:b/>
          <w:bCs/>
          <w:i/>
          <w:iCs/>
          <w:sz w:val="20"/>
          <w:szCs w:val="20"/>
        </w:rPr>
        <w:t xml:space="preserve">S. pombe </w:t>
      </w:r>
      <w:r w:rsidRPr="005B36C8">
        <w:rPr>
          <w:rFonts w:ascii="Arial" w:hAnsi="Arial" w:cs="Arial"/>
          <w:b/>
          <w:bCs/>
          <w:sz w:val="20"/>
          <w:szCs w:val="20"/>
        </w:rPr>
        <w:t xml:space="preserve">Dis3L2 (SpDis3L2) and </w:t>
      </w:r>
      <w:r w:rsidRPr="005B36C8">
        <w:rPr>
          <w:rFonts w:ascii="Arial" w:hAnsi="Arial" w:cs="Arial"/>
          <w:b/>
          <w:bCs/>
          <w:i/>
          <w:iCs/>
          <w:sz w:val="20"/>
          <w:szCs w:val="20"/>
        </w:rPr>
        <w:t xml:space="preserve">E. coli </w:t>
      </w:r>
      <w:r w:rsidRPr="005B36C8">
        <w:rPr>
          <w:rFonts w:ascii="Arial" w:hAnsi="Arial" w:cs="Arial"/>
          <w:b/>
          <w:bCs/>
          <w:sz w:val="20"/>
          <w:szCs w:val="20"/>
        </w:rPr>
        <w:t>RNase II (</w:t>
      </w:r>
      <w:proofErr w:type="spellStart"/>
      <w:r w:rsidRPr="005B36C8">
        <w:rPr>
          <w:rFonts w:ascii="Arial" w:hAnsi="Arial" w:cs="Arial"/>
          <w:b/>
          <w:bCs/>
          <w:sz w:val="20"/>
          <w:szCs w:val="20"/>
        </w:rPr>
        <w:t>EcRNase</w:t>
      </w:r>
      <w:proofErr w:type="spellEnd"/>
      <w:r w:rsidRPr="005B36C8">
        <w:rPr>
          <w:rFonts w:ascii="Arial" w:hAnsi="Arial" w:cs="Arial"/>
          <w:b/>
          <w:bCs/>
          <w:sz w:val="20"/>
          <w:szCs w:val="20"/>
        </w:rPr>
        <w:t xml:space="preserve"> II) over a poly(U) RNA substrate – comparison of </w:t>
      </w:r>
      <w:r w:rsidR="00A51A86" w:rsidRPr="005B36C8">
        <w:rPr>
          <w:rFonts w:ascii="Arial" w:hAnsi="Arial" w:cs="Arial"/>
          <w:b/>
          <w:bCs/>
          <w:sz w:val="20"/>
          <w:szCs w:val="20"/>
        </w:rPr>
        <w:t>end-product</w:t>
      </w:r>
      <w:r w:rsidRPr="005B36C8">
        <w:rPr>
          <w:rFonts w:ascii="Arial" w:hAnsi="Arial" w:cs="Arial"/>
          <w:b/>
          <w:bCs/>
          <w:sz w:val="20"/>
          <w:szCs w:val="20"/>
        </w:rPr>
        <w:t xml:space="preserve"> size. </w:t>
      </w:r>
      <w:r w:rsidRPr="005B36C8">
        <w:rPr>
          <w:rFonts w:ascii="Arial" w:hAnsi="Arial" w:cs="Arial"/>
          <w:sz w:val="20"/>
          <w:szCs w:val="20"/>
        </w:rPr>
        <w:t xml:space="preserve">8 </w:t>
      </w:r>
      <w:proofErr w:type="spellStart"/>
      <w:r w:rsidRPr="005B36C8">
        <w:rPr>
          <w:rFonts w:ascii="Arial" w:hAnsi="Arial" w:cs="Arial"/>
          <w:sz w:val="20"/>
          <w:szCs w:val="20"/>
        </w:rPr>
        <w:t>nM</w:t>
      </w:r>
      <w:proofErr w:type="spellEnd"/>
      <w:r w:rsidRPr="005B36C8">
        <w:rPr>
          <w:rFonts w:ascii="Arial" w:hAnsi="Arial" w:cs="Arial"/>
          <w:sz w:val="20"/>
          <w:szCs w:val="20"/>
        </w:rPr>
        <w:t xml:space="preserve"> of poly(U) substrate was incubated either with 30 </w:t>
      </w:r>
      <w:proofErr w:type="spellStart"/>
      <w:r w:rsidRPr="005B36C8">
        <w:rPr>
          <w:rFonts w:ascii="Arial" w:hAnsi="Arial" w:cs="Arial"/>
          <w:sz w:val="20"/>
          <w:szCs w:val="20"/>
        </w:rPr>
        <w:t>nM</w:t>
      </w:r>
      <w:proofErr w:type="spellEnd"/>
      <w:r w:rsidRPr="005B36C8">
        <w:rPr>
          <w:rFonts w:ascii="Arial" w:hAnsi="Arial" w:cs="Arial"/>
          <w:sz w:val="20"/>
          <w:szCs w:val="20"/>
        </w:rPr>
        <w:t xml:space="preserve"> WT SpDis3L2 for 45 minutes at 30ºC, or with 40 </w:t>
      </w:r>
      <w:proofErr w:type="spellStart"/>
      <w:r w:rsidRPr="005B36C8">
        <w:rPr>
          <w:rFonts w:ascii="Arial" w:hAnsi="Arial" w:cs="Arial"/>
          <w:sz w:val="20"/>
          <w:szCs w:val="20"/>
        </w:rPr>
        <w:t>nM</w:t>
      </w:r>
      <w:proofErr w:type="spellEnd"/>
      <w:r w:rsidRPr="005B36C8">
        <w:rPr>
          <w:rFonts w:ascii="Arial" w:hAnsi="Arial" w:cs="Arial"/>
          <w:sz w:val="20"/>
          <w:szCs w:val="20"/>
        </w:rPr>
        <w:t xml:space="preserve"> </w:t>
      </w:r>
      <w:proofErr w:type="spellStart"/>
      <w:r w:rsidRPr="005B36C8">
        <w:rPr>
          <w:rFonts w:ascii="Arial" w:hAnsi="Arial" w:cs="Arial"/>
          <w:sz w:val="20"/>
          <w:szCs w:val="20"/>
        </w:rPr>
        <w:t>EcRNase</w:t>
      </w:r>
      <w:proofErr w:type="spellEnd"/>
      <w:r w:rsidRPr="005B36C8">
        <w:rPr>
          <w:rFonts w:ascii="Arial" w:hAnsi="Arial" w:cs="Arial"/>
          <w:sz w:val="20"/>
          <w:szCs w:val="20"/>
        </w:rPr>
        <w:t xml:space="preserve"> II for 30 minutes at 37ºC. Control reactions (Ctrl) were incubated for the same time without any enzyme. Reactions were stopped at the time points indicated above each lane. RNA substrates and degradation products were separated through migration in a 7 M urea/20% PAA denaturing gel. The sizes of the molecules are depicted alongside the gel in line with the corresponding bands</w:t>
      </w:r>
      <w:r w:rsidRPr="00CB7B5D">
        <w:rPr>
          <w:rFonts w:ascii="Arial" w:hAnsi="Arial" w:cs="Arial"/>
          <w:sz w:val="20"/>
          <w:szCs w:val="20"/>
        </w:rPr>
        <w:t>.</w:t>
      </w:r>
      <w:r w:rsidR="008F68A4" w:rsidRPr="00CB7B5D">
        <w:rPr>
          <w:rFonts w:ascii="Arial" w:hAnsi="Arial" w:cs="Arial"/>
          <w:sz w:val="20"/>
          <w:szCs w:val="20"/>
        </w:rPr>
        <w:t xml:space="preserve"> Degradation products of </w:t>
      </w:r>
      <w:proofErr w:type="spellStart"/>
      <w:r w:rsidR="008F68A4" w:rsidRPr="00CB7B5D">
        <w:rPr>
          <w:rFonts w:ascii="Arial" w:hAnsi="Arial" w:cs="Arial"/>
          <w:sz w:val="20"/>
          <w:szCs w:val="20"/>
        </w:rPr>
        <w:t>EcRNase</w:t>
      </w:r>
      <w:proofErr w:type="spellEnd"/>
      <w:r w:rsidR="008F68A4" w:rsidRPr="00CB7B5D">
        <w:rPr>
          <w:rFonts w:ascii="Arial" w:hAnsi="Arial" w:cs="Arial"/>
          <w:sz w:val="20"/>
          <w:szCs w:val="20"/>
        </w:rPr>
        <w:t xml:space="preserve"> II worked as a size marker since it is well-established that this protein produces 4-nt end-products </w:t>
      </w:r>
      <w:sdt>
        <w:sdtPr>
          <w:rPr>
            <w:rFonts w:ascii="Arial" w:hAnsi="Arial" w:cs="Arial"/>
            <w:sz w:val="20"/>
            <w:szCs w:val="20"/>
          </w:rPr>
          <w:tag w:val="MENDELEY_CITATION_v3_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"/>
          <w:id w:val="1027755543"/>
          <w:placeholder>
            <w:docPart w:val="522920ED96734B2E87AA0581CF0818C4"/>
          </w:placeholder>
        </w:sdtPr>
        <w:sdtContent>
          <w:r w:rsidR="008F68A4" w:rsidRPr="00CB7B5D">
            <w:rPr>
              <w:rFonts w:ascii="Arial" w:hAnsi="Arial" w:cs="Arial"/>
              <w:sz w:val="20"/>
              <w:szCs w:val="20"/>
            </w:rPr>
            <w:t xml:space="preserve">(Frazão et al. 2006; </w:t>
          </w:r>
          <w:proofErr w:type="spellStart"/>
          <w:r w:rsidR="008F68A4" w:rsidRPr="00CB7B5D">
            <w:rPr>
              <w:rFonts w:ascii="Arial" w:hAnsi="Arial" w:cs="Arial"/>
              <w:sz w:val="20"/>
              <w:szCs w:val="20"/>
            </w:rPr>
            <w:t>Amblar</w:t>
          </w:r>
          <w:proofErr w:type="spellEnd"/>
          <w:r w:rsidR="008F68A4" w:rsidRPr="00CB7B5D">
            <w:rPr>
              <w:rFonts w:ascii="Arial" w:hAnsi="Arial" w:cs="Arial"/>
              <w:sz w:val="20"/>
              <w:szCs w:val="20"/>
            </w:rPr>
            <w:t xml:space="preserve"> et al. 2006)</w:t>
          </w:r>
        </w:sdtContent>
      </w:sdt>
      <w:r w:rsidR="008F68A4" w:rsidRPr="00CB7B5D">
        <w:rPr>
          <w:rFonts w:ascii="Arial" w:hAnsi="Arial" w:cs="Arial"/>
          <w:sz w:val="20"/>
          <w:szCs w:val="20"/>
        </w:rPr>
        <w:t xml:space="preserve">. </w:t>
      </w:r>
      <w:proofErr w:type="spellStart"/>
      <w:r w:rsidR="008F68A4" w:rsidRPr="00CB7B5D">
        <w:rPr>
          <w:rFonts w:ascii="Arial" w:hAnsi="Arial" w:cs="Arial"/>
          <w:sz w:val="20"/>
          <w:szCs w:val="20"/>
        </w:rPr>
        <w:t>EcRNase</w:t>
      </w:r>
      <w:proofErr w:type="spellEnd"/>
      <w:r w:rsidR="008F68A4" w:rsidRPr="00CB7B5D">
        <w:rPr>
          <w:rFonts w:ascii="Arial" w:hAnsi="Arial" w:cs="Arial"/>
          <w:sz w:val="20"/>
          <w:szCs w:val="20"/>
        </w:rPr>
        <w:t xml:space="preserve"> II was purified as described in </w:t>
      </w:r>
      <w:sdt>
        <w:sdtPr>
          <w:rPr>
            <w:rFonts w:ascii="Arial" w:hAnsi="Arial" w:cs="Arial"/>
            <w:sz w:val="20"/>
            <w:szCs w:val="20"/>
          </w:rPr>
          <w:tag w:val="MENDELEY_CITATION_v3_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"/>
          <w:id w:val="-1914300576"/>
          <w:placeholder>
            <w:docPart w:val="AC1564067EB84F958BED59A035A02E01"/>
          </w:placeholder>
        </w:sdtPr>
        <w:sdtContent>
          <w:r w:rsidR="008F68A4" w:rsidRPr="00CB7B5D">
            <w:rPr>
              <w:rFonts w:ascii="Arial" w:hAnsi="Arial" w:cs="Arial"/>
              <w:sz w:val="20"/>
              <w:szCs w:val="20"/>
            </w:rPr>
            <w:t>(Frazão et al. 2006)</w:t>
          </w:r>
        </w:sdtContent>
      </w:sdt>
      <w:r w:rsidR="008F68A4" w:rsidRPr="00CB7B5D">
        <w:rPr>
          <w:rFonts w:ascii="Arial" w:hAnsi="Arial" w:cs="Arial"/>
          <w:sz w:val="20"/>
          <w:szCs w:val="20"/>
        </w:rPr>
        <w:t>.</w:t>
      </w:r>
      <w:r w:rsidR="008F68A4" w:rsidRPr="008F68A4">
        <w:rPr>
          <w:rFonts w:ascii="Arial" w:hAnsi="Arial" w:cs="Arial"/>
          <w:sz w:val="20"/>
          <w:szCs w:val="20"/>
        </w:rPr>
        <w:t xml:space="preserve">  </w:t>
      </w:r>
    </w:p>
    <w:p w14:paraId="29C26912" w14:textId="77777777" w:rsidR="00BA1DAE" w:rsidRPr="005B36C8" w:rsidRDefault="00BA1DAE" w:rsidP="00BA1DAE">
      <w:pPr>
        <w:rPr>
          <w:rFonts w:ascii="Arial" w:hAnsi="Arial" w:cs="Arial"/>
          <w:sz w:val="24"/>
          <w:szCs w:val="24"/>
        </w:rPr>
      </w:pPr>
    </w:p>
    <w:p w14:paraId="2245A431" w14:textId="77777777" w:rsidR="00BA1DAE" w:rsidRPr="005B36C8" w:rsidRDefault="00BA1DAE" w:rsidP="00BA1DAE">
      <w:pPr>
        <w:rPr>
          <w:rFonts w:ascii="Arial" w:hAnsi="Arial" w:cs="Arial"/>
          <w:sz w:val="24"/>
          <w:szCs w:val="24"/>
        </w:rPr>
      </w:pPr>
      <w:r w:rsidRPr="005B36C8">
        <w:rPr>
          <w:rFonts w:ascii="Arial" w:hAnsi="Arial" w:cs="Arial"/>
          <w:sz w:val="24"/>
          <w:szCs w:val="24"/>
        </w:rPr>
        <w:br w:type="page"/>
      </w:r>
    </w:p>
    <w:p w14:paraId="64B8BEAB" w14:textId="77777777" w:rsidR="00BA1DAE" w:rsidRPr="005B36C8" w:rsidRDefault="00BA1DAE" w:rsidP="00BA1DAE">
      <w:pPr>
        <w:spacing w:after="0" w:line="240" w:lineRule="auto"/>
        <w:jc w:val="both"/>
        <w:rPr>
          <w:b/>
          <w:bCs/>
          <w:sz w:val="20"/>
          <w:szCs w:val="20"/>
        </w:rPr>
      </w:pPr>
    </w:p>
    <w:p w14:paraId="1E77A248" w14:textId="77777777" w:rsidR="00BA1DAE" w:rsidRPr="005B36C8" w:rsidRDefault="00BA1DAE" w:rsidP="00BA1DAE">
      <w:pPr>
        <w:spacing w:after="0" w:line="240" w:lineRule="auto"/>
        <w:jc w:val="both"/>
        <w:rPr>
          <w:b/>
          <w:bCs/>
          <w:sz w:val="20"/>
          <w:szCs w:val="20"/>
        </w:rPr>
      </w:pPr>
    </w:p>
    <w:p w14:paraId="6E9956CE" w14:textId="2495C5E0" w:rsidR="00BA1DAE" w:rsidRPr="005B36C8" w:rsidRDefault="00AC148C" w:rsidP="00BA1DAE">
      <w:pPr>
        <w:spacing w:after="120" w:line="240" w:lineRule="auto"/>
        <w:jc w:val="center"/>
        <w:rPr>
          <w:b/>
          <w:bCs/>
          <w:sz w:val="20"/>
          <w:szCs w:val="20"/>
        </w:rPr>
      </w:pPr>
      <w:r>
        <w:rPr>
          <w:b/>
          <w:bCs/>
          <w:noProof/>
          <w:sz w:val="20"/>
          <w:szCs w:val="20"/>
          <w14:ligatures w14:val="none"/>
        </w:rPr>
        <w:drawing>
          <wp:inline distT="0" distB="0" distL="0" distR="0" wp14:anchorId="20D4ED28" wp14:editId="37D94FBB">
            <wp:extent cx="5759450" cy="2083435"/>
            <wp:effectExtent l="0" t="0" r="0" b="0"/>
            <wp:docPr id="451344115" name="Picture 8" descr="A graph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44115" name="Picture 8" descr="A graph and a diagram&#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2083435"/>
                    </a:xfrm>
                    <a:prstGeom prst="rect">
                      <a:avLst/>
                    </a:prstGeom>
                  </pic:spPr>
                </pic:pic>
              </a:graphicData>
            </a:graphic>
          </wp:inline>
        </w:drawing>
      </w:r>
    </w:p>
    <w:p w14:paraId="29562F96" w14:textId="77777777" w:rsidR="00CB7B5D" w:rsidRDefault="00CB7B5D" w:rsidP="00A51A86">
      <w:pPr>
        <w:spacing w:after="0" w:line="276" w:lineRule="auto"/>
        <w:jc w:val="both"/>
        <w:rPr>
          <w:rFonts w:ascii="Arial" w:hAnsi="Arial" w:cs="Arial"/>
          <w:b/>
          <w:bCs/>
          <w:sz w:val="20"/>
          <w:szCs w:val="20"/>
        </w:rPr>
      </w:pPr>
    </w:p>
    <w:p w14:paraId="0BA414F3" w14:textId="35777923" w:rsidR="00BA1DAE" w:rsidRPr="005B36C8" w:rsidRDefault="00BA1DAE" w:rsidP="00A51A86">
      <w:pPr>
        <w:spacing w:after="0" w:line="276" w:lineRule="auto"/>
        <w:jc w:val="both"/>
        <w:rPr>
          <w:rFonts w:ascii="Arial" w:hAnsi="Arial" w:cs="Arial"/>
          <w:sz w:val="20"/>
          <w:szCs w:val="20"/>
        </w:rPr>
      </w:pPr>
      <w:r w:rsidRPr="005B36C8">
        <w:rPr>
          <w:rFonts w:ascii="Arial" w:hAnsi="Arial" w:cs="Arial"/>
          <w:b/>
          <w:bCs/>
          <w:sz w:val="20"/>
          <w:szCs w:val="20"/>
        </w:rPr>
        <w:t xml:space="preserve">Figure </w:t>
      </w:r>
      <w:r w:rsidR="008D1788">
        <w:rPr>
          <w:rFonts w:ascii="Arial" w:hAnsi="Arial" w:cs="Arial"/>
          <w:b/>
          <w:bCs/>
          <w:sz w:val="20"/>
          <w:szCs w:val="20"/>
        </w:rPr>
        <w:t>S</w:t>
      </w:r>
      <w:r w:rsidR="008D1788" w:rsidRPr="005B36C8">
        <w:rPr>
          <w:rFonts w:ascii="Arial" w:hAnsi="Arial" w:cs="Arial"/>
          <w:b/>
          <w:bCs/>
          <w:sz w:val="20"/>
          <w:szCs w:val="20"/>
        </w:rPr>
        <w:t>4</w:t>
      </w:r>
      <w:r w:rsidRPr="005B36C8">
        <w:rPr>
          <w:rFonts w:ascii="Arial" w:hAnsi="Arial" w:cs="Arial"/>
          <w:b/>
          <w:bCs/>
          <w:sz w:val="20"/>
          <w:szCs w:val="20"/>
        </w:rPr>
        <w:t>. Exoribonucleolytic activity of wild-type SpDis3L2 on three ssRNA</w:t>
      </w:r>
      <w:r w:rsidR="00DD5743">
        <w:rPr>
          <w:rFonts w:ascii="Arial" w:hAnsi="Arial" w:cs="Arial"/>
          <w:b/>
          <w:bCs/>
          <w:sz w:val="20"/>
          <w:szCs w:val="20"/>
        </w:rPr>
        <w:t>s</w:t>
      </w:r>
      <w:r w:rsidRPr="005B36C8">
        <w:rPr>
          <w:rFonts w:ascii="Arial" w:hAnsi="Arial" w:cs="Arial"/>
          <w:b/>
          <w:bCs/>
          <w:sz w:val="20"/>
          <w:szCs w:val="20"/>
        </w:rPr>
        <w:t xml:space="preserve">, demonstrating its preference for uridylated RNA substrates. </w:t>
      </w:r>
      <w:r w:rsidRPr="005B36C8">
        <w:rPr>
          <w:rFonts w:ascii="Arial" w:hAnsi="Arial" w:cs="Arial"/>
          <w:sz w:val="20"/>
          <w:szCs w:val="20"/>
        </w:rPr>
        <w:t>Adh1</w:t>
      </w:r>
      <w:r w:rsidR="005229CC" w:rsidRPr="005B36C8">
        <w:rPr>
          <w:rFonts w:ascii="Arial" w:hAnsi="Arial" w:cs="Arial"/>
          <w:sz w:val="20"/>
          <w:szCs w:val="20"/>
        </w:rPr>
        <w:t xml:space="preserve"> (20 </w:t>
      </w:r>
      <w:proofErr w:type="spellStart"/>
      <w:r w:rsidR="005229CC" w:rsidRPr="005B36C8">
        <w:rPr>
          <w:rFonts w:ascii="Arial" w:hAnsi="Arial" w:cs="Arial"/>
          <w:sz w:val="20"/>
          <w:szCs w:val="20"/>
        </w:rPr>
        <w:t>nt</w:t>
      </w:r>
      <w:proofErr w:type="spellEnd"/>
      <w:r w:rsidR="005229CC" w:rsidRPr="005B36C8">
        <w:rPr>
          <w:rFonts w:ascii="Arial" w:hAnsi="Arial" w:cs="Arial"/>
          <w:sz w:val="20"/>
          <w:szCs w:val="20"/>
        </w:rPr>
        <w:t>)</w:t>
      </w:r>
      <w:r w:rsidRPr="005B36C8">
        <w:rPr>
          <w:rFonts w:ascii="Arial" w:hAnsi="Arial" w:cs="Arial"/>
          <w:sz w:val="20"/>
          <w:szCs w:val="20"/>
        </w:rPr>
        <w:t>, Adh1-U</w:t>
      </w:r>
      <w:r w:rsidRPr="005B36C8">
        <w:rPr>
          <w:rFonts w:ascii="Arial" w:hAnsi="Arial" w:cs="Arial"/>
          <w:sz w:val="20"/>
          <w:szCs w:val="20"/>
          <w:vertAlign w:val="subscript"/>
        </w:rPr>
        <w:t>4</w:t>
      </w:r>
      <w:r w:rsidRPr="005B36C8">
        <w:rPr>
          <w:rFonts w:ascii="Arial" w:hAnsi="Arial" w:cs="Arial"/>
          <w:sz w:val="20"/>
          <w:szCs w:val="20"/>
        </w:rPr>
        <w:t xml:space="preserve"> </w:t>
      </w:r>
      <w:r w:rsidR="005229CC" w:rsidRPr="005B36C8">
        <w:rPr>
          <w:rFonts w:ascii="Arial" w:hAnsi="Arial" w:cs="Arial"/>
          <w:sz w:val="20"/>
          <w:szCs w:val="20"/>
        </w:rPr>
        <w:t xml:space="preserve">(24 </w:t>
      </w:r>
      <w:proofErr w:type="spellStart"/>
      <w:r w:rsidR="005229CC" w:rsidRPr="005B36C8">
        <w:rPr>
          <w:rFonts w:ascii="Arial" w:hAnsi="Arial" w:cs="Arial"/>
          <w:sz w:val="20"/>
          <w:szCs w:val="20"/>
        </w:rPr>
        <w:t>nt</w:t>
      </w:r>
      <w:proofErr w:type="spellEnd"/>
      <w:r w:rsidR="005229CC" w:rsidRPr="005B36C8">
        <w:rPr>
          <w:rFonts w:ascii="Arial" w:hAnsi="Arial" w:cs="Arial"/>
          <w:sz w:val="20"/>
          <w:szCs w:val="20"/>
        </w:rPr>
        <w:t xml:space="preserve">) </w:t>
      </w:r>
      <w:r w:rsidRPr="005B36C8">
        <w:rPr>
          <w:rFonts w:ascii="Arial" w:hAnsi="Arial" w:cs="Arial"/>
          <w:sz w:val="20"/>
          <w:szCs w:val="20"/>
        </w:rPr>
        <w:t>and Adh1-U</w:t>
      </w:r>
      <w:r w:rsidRPr="005B36C8">
        <w:rPr>
          <w:rFonts w:ascii="Arial" w:hAnsi="Arial" w:cs="Arial"/>
          <w:sz w:val="20"/>
          <w:szCs w:val="20"/>
          <w:vertAlign w:val="subscript"/>
        </w:rPr>
        <w:t>16</w:t>
      </w:r>
      <w:r w:rsidRPr="005B36C8">
        <w:rPr>
          <w:rFonts w:ascii="Arial" w:hAnsi="Arial" w:cs="Arial"/>
          <w:sz w:val="20"/>
          <w:szCs w:val="20"/>
        </w:rPr>
        <w:t xml:space="preserve"> </w:t>
      </w:r>
      <w:r w:rsidR="005229CC" w:rsidRPr="005B36C8">
        <w:rPr>
          <w:rFonts w:ascii="Arial" w:hAnsi="Arial" w:cs="Arial"/>
          <w:sz w:val="20"/>
          <w:szCs w:val="20"/>
        </w:rPr>
        <w:t xml:space="preserve">(36 </w:t>
      </w:r>
      <w:proofErr w:type="spellStart"/>
      <w:r w:rsidR="005229CC" w:rsidRPr="005B36C8">
        <w:rPr>
          <w:rFonts w:ascii="Arial" w:hAnsi="Arial" w:cs="Arial"/>
          <w:sz w:val="20"/>
          <w:szCs w:val="20"/>
        </w:rPr>
        <w:t>nt</w:t>
      </w:r>
      <w:proofErr w:type="spellEnd"/>
      <w:r w:rsidR="005229CC" w:rsidRPr="005B36C8">
        <w:rPr>
          <w:rFonts w:ascii="Arial" w:hAnsi="Arial" w:cs="Arial"/>
          <w:sz w:val="20"/>
          <w:szCs w:val="20"/>
        </w:rPr>
        <w:t xml:space="preserve">) </w:t>
      </w:r>
      <w:r w:rsidRPr="005B36C8">
        <w:rPr>
          <w:rFonts w:ascii="Arial" w:hAnsi="Arial" w:cs="Arial"/>
          <w:sz w:val="20"/>
          <w:szCs w:val="20"/>
        </w:rPr>
        <w:t xml:space="preserve">RNA substrates were simultaneously incubated with wild-type (WT) SpDis3L2 for 45 minutes at 30ºC. Control reactions (Ctrl) were incubated for the same time without any enzyme. Reactions were stopped at the time points indicated above each lane and </w:t>
      </w:r>
      <w:r w:rsidR="00A51A86" w:rsidRPr="005B36C8">
        <w:rPr>
          <w:rFonts w:ascii="Arial" w:hAnsi="Arial" w:cs="Arial"/>
          <w:sz w:val="20"/>
          <w:szCs w:val="20"/>
        </w:rPr>
        <w:t xml:space="preserve">analysed </w:t>
      </w:r>
      <w:r w:rsidRPr="005B36C8">
        <w:rPr>
          <w:rFonts w:ascii="Arial" w:hAnsi="Arial" w:cs="Arial"/>
          <w:sz w:val="20"/>
          <w:szCs w:val="20"/>
        </w:rPr>
        <w:t xml:space="preserve">on a </w:t>
      </w:r>
      <w:r w:rsidRPr="003C426C">
        <w:rPr>
          <w:rFonts w:ascii="Arial" w:hAnsi="Arial" w:cs="Arial"/>
          <w:sz w:val="20"/>
          <w:szCs w:val="20"/>
        </w:rPr>
        <w:t>7 M urea/20% PAA denaturing gel</w:t>
      </w:r>
      <w:r w:rsidRPr="005B36C8">
        <w:rPr>
          <w:rFonts w:ascii="Arial" w:hAnsi="Arial" w:cs="Arial"/>
          <w:sz w:val="20"/>
          <w:szCs w:val="20"/>
        </w:rPr>
        <w:t xml:space="preserve"> </w:t>
      </w:r>
      <w:r w:rsidRPr="005B36C8">
        <w:rPr>
          <w:rFonts w:ascii="Arial" w:hAnsi="Arial" w:cs="Arial"/>
          <w:b/>
          <w:bCs/>
          <w:sz w:val="20"/>
          <w:szCs w:val="20"/>
        </w:rPr>
        <w:t>(A)</w:t>
      </w:r>
      <w:r w:rsidRPr="005B36C8">
        <w:rPr>
          <w:rFonts w:ascii="Arial" w:hAnsi="Arial" w:cs="Arial"/>
          <w:sz w:val="20"/>
          <w:szCs w:val="20"/>
        </w:rPr>
        <w:t xml:space="preserve">. The sizes of the molecules are depicted alongside the gel in line with the corresponding bands. </w:t>
      </w:r>
      <w:r w:rsidRPr="002D4A9C">
        <w:rPr>
          <w:rFonts w:ascii="Arial" w:hAnsi="Arial" w:cs="Arial"/>
          <w:sz w:val="20"/>
          <w:szCs w:val="20"/>
        </w:rPr>
        <w:t>This assay was performed more than three times.</w:t>
      </w:r>
      <w:r w:rsidRPr="005B36C8">
        <w:rPr>
          <w:rFonts w:ascii="Arial" w:hAnsi="Arial" w:cs="Arial"/>
          <w:sz w:val="20"/>
          <w:szCs w:val="20"/>
        </w:rPr>
        <w:t xml:space="preserve"> </w:t>
      </w:r>
      <w:r w:rsidRPr="005B36C8">
        <w:rPr>
          <w:rFonts w:ascii="Arial" w:hAnsi="Arial" w:cs="Arial"/>
          <w:b/>
          <w:bCs/>
          <w:sz w:val="20"/>
          <w:szCs w:val="20"/>
        </w:rPr>
        <w:t xml:space="preserve">(B) Quantification of the exoribonucleolytic activity of </w:t>
      </w:r>
      <w:r w:rsidR="005229CC" w:rsidRPr="005B36C8">
        <w:rPr>
          <w:rFonts w:ascii="Arial" w:hAnsi="Arial" w:cs="Arial"/>
          <w:b/>
          <w:bCs/>
          <w:sz w:val="20"/>
          <w:szCs w:val="20"/>
        </w:rPr>
        <w:t xml:space="preserve">WT </w:t>
      </w:r>
      <w:r w:rsidRPr="005B36C8">
        <w:rPr>
          <w:rFonts w:ascii="Arial" w:hAnsi="Arial" w:cs="Arial"/>
          <w:b/>
          <w:bCs/>
          <w:sz w:val="20"/>
          <w:szCs w:val="20"/>
        </w:rPr>
        <w:t xml:space="preserve">SpDis3L2. </w:t>
      </w:r>
      <w:r w:rsidRPr="005B36C8">
        <w:rPr>
          <w:rFonts w:ascii="Arial" w:hAnsi="Arial" w:cs="Arial"/>
          <w:sz w:val="20"/>
          <w:szCs w:val="20"/>
        </w:rPr>
        <w:t>The graph represents the amount</w:t>
      </w:r>
      <w:r w:rsidR="00DD5743">
        <w:rPr>
          <w:rFonts w:ascii="Arial" w:hAnsi="Arial" w:cs="Arial"/>
          <w:sz w:val="20"/>
          <w:szCs w:val="20"/>
        </w:rPr>
        <w:t xml:space="preserve"> (in percentage)</w:t>
      </w:r>
      <w:r w:rsidRPr="005B36C8">
        <w:rPr>
          <w:rFonts w:ascii="Arial" w:hAnsi="Arial" w:cs="Arial"/>
          <w:sz w:val="20"/>
          <w:szCs w:val="20"/>
        </w:rPr>
        <w:t xml:space="preserve"> of remaining RNA at the time points indicated, for each of the three RNA substrates (Adh1, Adh1-U</w:t>
      </w:r>
      <w:r w:rsidRPr="005B36C8">
        <w:rPr>
          <w:rFonts w:ascii="Arial" w:hAnsi="Arial" w:cs="Arial"/>
          <w:sz w:val="20"/>
          <w:szCs w:val="20"/>
          <w:vertAlign w:val="subscript"/>
        </w:rPr>
        <w:t>4</w:t>
      </w:r>
      <w:r w:rsidRPr="005B36C8">
        <w:rPr>
          <w:rFonts w:ascii="Arial" w:hAnsi="Arial" w:cs="Arial"/>
          <w:sz w:val="20"/>
          <w:szCs w:val="20"/>
        </w:rPr>
        <w:t>, and Adh1-U</w:t>
      </w:r>
      <w:r w:rsidRPr="005B36C8">
        <w:rPr>
          <w:rFonts w:ascii="Arial" w:hAnsi="Arial" w:cs="Arial"/>
          <w:sz w:val="20"/>
          <w:szCs w:val="20"/>
          <w:vertAlign w:val="subscript"/>
        </w:rPr>
        <w:t>16</w:t>
      </w:r>
      <w:r w:rsidRPr="005B36C8">
        <w:rPr>
          <w:rFonts w:ascii="Arial" w:hAnsi="Arial" w:cs="Arial"/>
          <w:sz w:val="20"/>
          <w:szCs w:val="20"/>
        </w:rPr>
        <w:t xml:space="preserve">). The amount of remaining RNA was quantified using the </w:t>
      </w:r>
      <w:proofErr w:type="spellStart"/>
      <w:r w:rsidRPr="005B36C8">
        <w:rPr>
          <w:rFonts w:ascii="Arial" w:hAnsi="Arial" w:cs="Arial"/>
          <w:sz w:val="20"/>
          <w:szCs w:val="20"/>
        </w:rPr>
        <w:t>ImageQuant</w:t>
      </w:r>
      <w:proofErr w:type="spellEnd"/>
      <w:r w:rsidRPr="005B36C8">
        <w:rPr>
          <w:rFonts w:ascii="Arial" w:hAnsi="Arial" w:cs="Arial"/>
          <w:sz w:val="20"/>
          <w:szCs w:val="20"/>
        </w:rPr>
        <w:t xml:space="preserve"> TL v.8.1 software.</w:t>
      </w:r>
    </w:p>
    <w:p w14:paraId="30C46859" w14:textId="77777777" w:rsidR="00BA1DAE" w:rsidRPr="005B36C8" w:rsidRDefault="00BA1DAE" w:rsidP="00BA1DAE">
      <w:pPr>
        <w:spacing w:after="0" w:line="240" w:lineRule="auto"/>
        <w:jc w:val="both"/>
        <w:rPr>
          <w:rFonts w:ascii="Arial" w:hAnsi="Arial" w:cs="Arial"/>
          <w:sz w:val="20"/>
          <w:szCs w:val="20"/>
        </w:rPr>
      </w:pPr>
    </w:p>
    <w:p w14:paraId="662E7C0F" w14:textId="02D6A966" w:rsidR="004C54CA" w:rsidRPr="005D2781" w:rsidRDefault="004C54CA" w:rsidP="00A77094">
      <w:pPr>
        <w:rPr>
          <w:rFonts w:ascii="Arial" w:hAnsi="Arial" w:cs="Arial"/>
          <w:sz w:val="24"/>
          <w:szCs w:val="24"/>
        </w:rPr>
      </w:pPr>
    </w:p>
    <w:sectPr w:rsidR="004C54CA" w:rsidRPr="005D2781" w:rsidSect="00BE31F0">
      <w:footerReference w:type="default" r:id="rId1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AAA833" w14:textId="77777777" w:rsidR="00307FD2" w:rsidRPr="005B36C8" w:rsidRDefault="00307FD2">
      <w:pPr>
        <w:spacing w:after="0" w:line="240" w:lineRule="auto"/>
      </w:pPr>
      <w:r w:rsidRPr="005B36C8">
        <w:separator/>
      </w:r>
    </w:p>
  </w:endnote>
  <w:endnote w:type="continuationSeparator" w:id="0">
    <w:p w14:paraId="4F365BA8" w14:textId="77777777" w:rsidR="00307FD2" w:rsidRPr="005B36C8" w:rsidRDefault="00307FD2">
      <w:pPr>
        <w:spacing w:after="0" w:line="240" w:lineRule="auto"/>
      </w:pPr>
      <w:r w:rsidRPr="005B36C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Adobe Fan Heiti Std B">
    <w:altName w:val="Yu Gothic"/>
    <w:panose1 w:val="00000000000000000000"/>
    <w:charset w:val="80"/>
    <w:family w:val="swiss"/>
    <w:notTrueType/>
    <w:pitch w:val="variable"/>
    <w:sig w:usb0="00000001" w:usb1="1A0F1900" w:usb2="00000016" w:usb3="00000000" w:csb0="00120005"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A6A6A6" w:themeColor="background1" w:themeShade="A6"/>
      </w:rPr>
      <w:id w:val="-815716748"/>
      <w:docPartObj>
        <w:docPartGallery w:val="Page Numbers (Bottom of Page)"/>
        <w:docPartUnique/>
      </w:docPartObj>
    </w:sdtPr>
    <w:sdtContent>
      <w:p w14:paraId="3D4CAC74" w14:textId="77777777" w:rsidR="00306BC2" w:rsidRPr="005B36C8" w:rsidRDefault="00A76B62">
        <w:pPr>
          <w:pStyle w:val="Footer"/>
          <w:jc w:val="center"/>
          <w:rPr>
            <w:color w:val="A6A6A6" w:themeColor="background1" w:themeShade="A6"/>
          </w:rPr>
        </w:pPr>
        <w:r w:rsidRPr="005B36C8">
          <w:rPr>
            <w:color w:val="A6A6A6" w:themeColor="background1" w:themeShade="A6"/>
          </w:rPr>
          <w:fldChar w:fldCharType="begin"/>
        </w:r>
        <w:r w:rsidRPr="005B36C8">
          <w:rPr>
            <w:color w:val="A6A6A6" w:themeColor="background1" w:themeShade="A6"/>
          </w:rPr>
          <w:instrText>PAGE   \* MERGEFORMAT</w:instrText>
        </w:r>
        <w:r w:rsidRPr="005B36C8">
          <w:rPr>
            <w:color w:val="A6A6A6" w:themeColor="background1" w:themeShade="A6"/>
          </w:rPr>
          <w:fldChar w:fldCharType="separate"/>
        </w:r>
        <w:r w:rsidRPr="005B36C8">
          <w:rPr>
            <w:color w:val="A6A6A6" w:themeColor="background1" w:themeShade="A6"/>
          </w:rPr>
          <w:t>42</w:t>
        </w:r>
        <w:r w:rsidRPr="005B36C8">
          <w:rPr>
            <w:color w:val="A6A6A6" w:themeColor="background1" w:themeShade="A6"/>
          </w:rPr>
          <w:fldChar w:fldCharType="end"/>
        </w:r>
      </w:p>
    </w:sdtContent>
  </w:sdt>
  <w:p w14:paraId="4180A459" w14:textId="77777777" w:rsidR="00306BC2" w:rsidRPr="005B36C8" w:rsidRDefault="00306B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24D4B4" w14:textId="77777777" w:rsidR="00307FD2" w:rsidRPr="005B36C8" w:rsidRDefault="00307FD2">
      <w:pPr>
        <w:spacing w:after="0" w:line="240" w:lineRule="auto"/>
      </w:pPr>
      <w:r w:rsidRPr="005B36C8">
        <w:separator/>
      </w:r>
    </w:p>
  </w:footnote>
  <w:footnote w:type="continuationSeparator" w:id="0">
    <w:p w14:paraId="2B19AF6A" w14:textId="77777777" w:rsidR="00307FD2" w:rsidRPr="005B36C8" w:rsidRDefault="00307FD2">
      <w:pPr>
        <w:spacing w:after="0" w:line="240" w:lineRule="auto"/>
      </w:pPr>
      <w:r w:rsidRPr="005B36C8">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1DAE"/>
    <w:rsid w:val="0002599D"/>
    <w:rsid w:val="00041AF1"/>
    <w:rsid w:val="0005536E"/>
    <w:rsid w:val="00067B4C"/>
    <w:rsid w:val="0008256F"/>
    <w:rsid w:val="000A5CE8"/>
    <w:rsid w:val="000B04B2"/>
    <w:rsid w:val="000D535E"/>
    <w:rsid w:val="00165F96"/>
    <w:rsid w:val="001A1C4B"/>
    <w:rsid w:val="001D2456"/>
    <w:rsid w:val="001F0B8C"/>
    <w:rsid w:val="001F1E0E"/>
    <w:rsid w:val="00210352"/>
    <w:rsid w:val="00213BC4"/>
    <w:rsid w:val="00232571"/>
    <w:rsid w:val="002452BD"/>
    <w:rsid w:val="0026658F"/>
    <w:rsid w:val="0027028C"/>
    <w:rsid w:val="00294B65"/>
    <w:rsid w:val="002A430D"/>
    <w:rsid w:val="002D4A9C"/>
    <w:rsid w:val="00306BC2"/>
    <w:rsid w:val="00307FD2"/>
    <w:rsid w:val="0032496D"/>
    <w:rsid w:val="00345C7D"/>
    <w:rsid w:val="0037400C"/>
    <w:rsid w:val="0038639E"/>
    <w:rsid w:val="003C426C"/>
    <w:rsid w:val="003E25E7"/>
    <w:rsid w:val="00411142"/>
    <w:rsid w:val="00417911"/>
    <w:rsid w:val="00480C08"/>
    <w:rsid w:val="00496F44"/>
    <w:rsid w:val="004C54CA"/>
    <w:rsid w:val="004E25B8"/>
    <w:rsid w:val="004F779B"/>
    <w:rsid w:val="005058E5"/>
    <w:rsid w:val="005229CC"/>
    <w:rsid w:val="005B36C8"/>
    <w:rsid w:val="005D2781"/>
    <w:rsid w:val="005E1113"/>
    <w:rsid w:val="005E1DEC"/>
    <w:rsid w:val="005F7D4F"/>
    <w:rsid w:val="00630B21"/>
    <w:rsid w:val="00633EDD"/>
    <w:rsid w:val="006F357B"/>
    <w:rsid w:val="00721E08"/>
    <w:rsid w:val="00770C01"/>
    <w:rsid w:val="00791520"/>
    <w:rsid w:val="00793597"/>
    <w:rsid w:val="00793C15"/>
    <w:rsid w:val="007B16FD"/>
    <w:rsid w:val="007B1AE4"/>
    <w:rsid w:val="00816A80"/>
    <w:rsid w:val="00822903"/>
    <w:rsid w:val="00830523"/>
    <w:rsid w:val="00832BF0"/>
    <w:rsid w:val="00842DEA"/>
    <w:rsid w:val="00871D96"/>
    <w:rsid w:val="00893ABF"/>
    <w:rsid w:val="008D1788"/>
    <w:rsid w:val="008F68A4"/>
    <w:rsid w:val="009042C1"/>
    <w:rsid w:val="009823D2"/>
    <w:rsid w:val="0099080C"/>
    <w:rsid w:val="009967B2"/>
    <w:rsid w:val="009B36E3"/>
    <w:rsid w:val="009C07A4"/>
    <w:rsid w:val="009C156D"/>
    <w:rsid w:val="00A36244"/>
    <w:rsid w:val="00A51A86"/>
    <w:rsid w:val="00A66F57"/>
    <w:rsid w:val="00A73528"/>
    <w:rsid w:val="00A76B62"/>
    <w:rsid w:val="00A77094"/>
    <w:rsid w:val="00A77995"/>
    <w:rsid w:val="00A816AB"/>
    <w:rsid w:val="00A93733"/>
    <w:rsid w:val="00AC148C"/>
    <w:rsid w:val="00AD1795"/>
    <w:rsid w:val="00AE7DE2"/>
    <w:rsid w:val="00AF2E22"/>
    <w:rsid w:val="00B322FE"/>
    <w:rsid w:val="00B3384E"/>
    <w:rsid w:val="00B55377"/>
    <w:rsid w:val="00B56379"/>
    <w:rsid w:val="00B676ED"/>
    <w:rsid w:val="00BA1DAE"/>
    <w:rsid w:val="00BD558C"/>
    <w:rsid w:val="00C30EF7"/>
    <w:rsid w:val="00C65603"/>
    <w:rsid w:val="00CB7B5D"/>
    <w:rsid w:val="00CD3B13"/>
    <w:rsid w:val="00CF37B3"/>
    <w:rsid w:val="00D269AF"/>
    <w:rsid w:val="00D403E3"/>
    <w:rsid w:val="00D67CB7"/>
    <w:rsid w:val="00D752CA"/>
    <w:rsid w:val="00DA039A"/>
    <w:rsid w:val="00DD1B35"/>
    <w:rsid w:val="00DD5743"/>
    <w:rsid w:val="00E54DA9"/>
    <w:rsid w:val="00E60849"/>
    <w:rsid w:val="00EB4393"/>
    <w:rsid w:val="00EE1396"/>
    <w:rsid w:val="00F106AE"/>
    <w:rsid w:val="00F71B9B"/>
    <w:rsid w:val="00FB235B"/>
    <w:rsid w:val="00FC4E4C"/>
    <w:rsid w:val="00FD3D13"/>
    <w:rsid w:val="00FE5C07"/>
    <w:rsid w:val="00FE71AD"/>
    <w:rsid w:val="00FF66DC"/>
  </w:rsids>
  <m:mathPr>
    <m:mathFont m:val="Cambria Math"/>
    <m:brkBin m:val="before"/>
    <m:brkBinSub m:val="--"/>
    <m:smallFrac m:val="0"/>
    <m:dispDef/>
    <m:lMargin m:val="0"/>
    <m:rMargin m:val="0"/>
    <m:defJc m:val="centerGroup"/>
    <m:wrapIndent m:val="1440"/>
    <m:intLim m:val="subSup"/>
    <m:naryLim m:val="undOvr"/>
  </m:mathPr>
  <w:themeFontLang w:val="pt-PT"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B6F4D0"/>
  <w15:chartTrackingRefBased/>
  <w15:docId w15:val="{3DFD4023-0832-4357-91D0-77E06BDEA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1DAE"/>
    <w:rPr>
      <w:kern w:val="2"/>
      <w14:ligatures w14:val="standardContextual"/>
    </w:rPr>
  </w:style>
  <w:style w:type="paragraph" w:styleId="Heading1">
    <w:name w:val="heading 1"/>
    <w:basedOn w:val="Normal"/>
    <w:next w:val="Normal"/>
    <w:link w:val="Heading1Char"/>
    <w:uiPriority w:val="9"/>
    <w:qFormat/>
    <w:rsid w:val="00BA1DAE"/>
    <w:pPr>
      <w:outlineLvl w:val="0"/>
    </w:pPr>
    <w:rPr>
      <w:rFonts w:ascii="Arial" w:hAnsi="Arial" w:cs="Arial"/>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1DAE"/>
    <w:rPr>
      <w:rFonts w:ascii="Arial" w:hAnsi="Arial" w:cs="Arial"/>
      <w:b/>
      <w:bCs/>
      <w:kern w:val="2"/>
      <w:sz w:val="28"/>
      <w:szCs w:val="28"/>
      <w:lang w:val="en-US"/>
      <w14:ligatures w14:val="standardContextual"/>
    </w:rPr>
  </w:style>
  <w:style w:type="table" w:styleId="TableGrid">
    <w:name w:val="Table Grid"/>
    <w:basedOn w:val="TableNormal"/>
    <w:uiPriority w:val="39"/>
    <w:rsid w:val="00BA1DAE"/>
    <w:pPr>
      <w:spacing w:after="0" w:line="240" w:lineRule="auto"/>
    </w:pPr>
    <w:rPr>
      <w:kern w:val="2"/>
      <w:lang w:val="pt-PT"/>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BA1DAE"/>
    <w:pPr>
      <w:tabs>
        <w:tab w:val="center" w:pos="4252"/>
        <w:tab w:val="right" w:pos="8504"/>
      </w:tabs>
      <w:spacing w:after="0" w:line="240" w:lineRule="auto"/>
    </w:pPr>
  </w:style>
  <w:style w:type="character" w:customStyle="1" w:styleId="FooterChar">
    <w:name w:val="Footer Char"/>
    <w:basedOn w:val="DefaultParagraphFont"/>
    <w:link w:val="Footer"/>
    <w:uiPriority w:val="99"/>
    <w:rsid w:val="00BA1DAE"/>
    <w:rPr>
      <w:kern w:val="2"/>
      <w:lang w:val="en-US"/>
      <w14:ligatures w14:val="standardContextual"/>
    </w:rPr>
  </w:style>
  <w:style w:type="paragraph" w:styleId="Revision">
    <w:name w:val="Revision"/>
    <w:hidden/>
    <w:uiPriority w:val="99"/>
    <w:semiHidden/>
    <w:rsid w:val="00F71B9B"/>
    <w:pPr>
      <w:spacing w:after="0" w:line="240" w:lineRule="auto"/>
    </w:pPr>
    <w:rPr>
      <w:kern w:val="2"/>
      <w:lang w:val="en-US"/>
      <w14:ligatures w14:val="standardContextual"/>
    </w:rPr>
  </w:style>
  <w:style w:type="character" w:styleId="CommentReference">
    <w:name w:val="annotation reference"/>
    <w:basedOn w:val="DefaultParagraphFont"/>
    <w:uiPriority w:val="99"/>
    <w:semiHidden/>
    <w:unhideWhenUsed/>
    <w:rsid w:val="00F71B9B"/>
    <w:rPr>
      <w:sz w:val="16"/>
      <w:szCs w:val="16"/>
    </w:rPr>
  </w:style>
  <w:style w:type="paragraph" w:styleId="CommentText">
    <w:name w:val="annotation text"/>
    <w:basedOn w:val="Normal"/>
    <w:link w:val="CommentTextChar"/>
    <w:uiPriority w:val="99"/>
    <w:unhideWhenUsed/>
    <w:rsid w:val="00F71B9B"/>
    <w:pPr>
      <w:spacing w:line="240" w:lineRule="auto"/>
    </w:pPr>
    <w:rPr>
      <w:sz w:val="20"/>
      <w:szCs w:val="20"/>
    </w:rPr>
  </w:style>
  <w:style w:type="character" w:customStyle="1" w:styleId="CommentTextChar">
    <w:name w:val="Comment Text Char"/>
    <w:basedOn w:val="DefaultParagraphFont"/>
    <w:link w:val="CommentText"/>
    <w:uiPriority w:val="99"/>
    <w:rsid w:val="00F71B9B"/>
    <w:rPr>
      <w:kern w:val="2"/>
      <w:sz w:val="20"/>
      <w:szCs w:val="20"/>
      <w:lang w:val="en-US"/>
      <w14:ligatures w14:val="standardContextual"/>
    </w:rPr>
  </w:style>
  <w:style w:type="paragraph" w:styleId="CommentSubject">
    <w:name w:val="annotation subject"/>
    <w:basedOn w:val="CommentText"/>
    <w:next w:val="CommentText"/>
    <w:link w:val="CommentSubjectChar"/>
    <w:uiPriority w:val="99"/>
    <w:semiHidden/>
    <w:unhideWhenUsed/>
    <w:rsid w:val="00F71B9B"/>
    <w:rPr>
      <w:b/>
      <w:bCs/>
    </w:rPr>
  </w:style>
  <w:style w:type="character" w:customStyle="1" w:styleId="CommentSubjectChar">
    <w:name w:val="Comment Subject Char"/>
    <w:basedOn w:val="CommentTextChar"/>
    <w:link w:val="CommentSubject"/>
    <w:uiPriority w:val="99"/>
    <w:semiHidden/>
    <w:rsid w:val="00F71B9B"/>
    <w:rPr>
      <w:b/>
      <w:bCs/>
      <w:kern w:val="2"/>
      <w:sz w:val="20"/>
      <w:szCs w:val="20"/>
      <w:lang w:val="en-US"/>
      <w14:ligatures w14:val="standardContextual"/>
    </w:rPr>
  </w:style>
  <w:style w:type="paragraph" w:styleId="BalloonText">
    <w:name w:val="Balloon Text"/>
    <w:basedOn w:val="Normal"/>
    <w:link w:val="BalloonTextChar"/>
    <w:uiPriority w:val="99"/>
    <w:semiHidden/>
    <w:unhideWhenUsed/>
    <w:rsid w:val="002325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2571"/>
    <w:rPr>
      <w:rFonts w:ascii="Segoe UI" w:hAnsi="Segoe UI" w:cs="Segoe UI"/>
      <w:kern w:val="2"/>
      <w:sz w:val="18"/>
      <w:szCs w:val="18"/>
      <w:lang w:val="en-US"/>
      <w14:ligatures w14:val="standardContextual"/>
    </w:rPr>
  </w:style>
  <w:style w:type="character" w:styleId="PlaceholderText">
    <w:name w:val="Placeholder Text"/>
    <w:basedOn w:val="DefaultParagraphFont"/>
    <w:uiPriority w:val="99"/>
    <w:semiHidden/>
    <w:rsid w:val="005B36C8"/>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587210">
      <w:bodyDiv w:val="1"/>
      <w:marLeft w:val="0"/>
      <w:marRight w:val="0"/>
      <w:marTop w:val="0"/>
      <w:marBottom w:val="0"/>
      <w:divBdr>
        <w:top w:val="none" w:sz="0" w:space="0" w:color="auto"/>
        <w:left w:val="none" w:sz="0" w:space="0" w:color="auto"/>
        <w:bottom w:val="none" w:sz="0" w:space="0" w:color="auto"/>
        <w:right w:val="none" w:sz="0" w:space="0" w:color="auto"/>
      </w:divBdr>
      <w:divsChild>
        <w:div w:id="1868523480">
          <w:marLeft w:val="0"/>
          <w:marRight w:val="0"/>
          <w:marTop w:val="0"/>
          <w:marBottom w:val="0"/>
          <w:divBdr>
            <w:top w:val="none" w:sz="0" w:space="0" w:color="auto"/>
            <w:left w:val="none" w:sz="0" w:space="0" w:color="auto"/>
            <w:bottom w:val="none" w:sz="0" w:space="0" w:color="auto"/>
            <w:right w:val="none" w:sz="0" w:space="0" w:color="auto"/>
          </w:divBdr>
        </w:div>
      </w:divsChild>
    </w:div>
    <w:div w:id="1801414376">
      <w:bodyDiv w:val="1"/>
      <w:marLeft w:val="0"/>
      <w:marRight w:val="0"/>
      <w:marTop w:val="0"/>
      <w:marBottom w:val="0"/>
      <w:divBdr>
        <w:top w:val="none" w:sz="0" w:space="0" w:color="auto"/>
        <w:left w:val="none" w:sz="0" w:space="0" w:color="auto"/>
        <w:bottom w:val="none" w:sz="0" w:space="0" w:color="auto"/>
        <w:right w:val="none" w:sz="0" w:space="0" w:color="auto"/>
      </w:divBdr>
      <w:divsChild>
        <w:div w:id="14396457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02DD55D5B814468954ACCA87B3F1B29"/>
        <w:category>
          <w:name w:val="General"/>
          <w:gallery w:val="placeholder"/>
        </w:category>
        <w:types>
          <w:type w:val="bbPlcHdr"/>
        </w:types>
        <w:behaviors>
          <w:behavior w:val="content"/>
        </w:behaviors>
        <w:guid w:val="{3EEC1F3F-4D43-4770-B00E-F666575E55B0}"/>
      </w:docPartPr>
      <w:docPartBody>
        <w:p w:rsidR="00CD0C4F" w:rsidRDefault="00656443" w:rsidP="00656443">
          <w:pPr>
            <w:pStyle w:val="102DD55D5B814468954ACCA87B3F1B29"/>
          </w:pPr>
          <w:r w:rsidRPr="00475617">
            <w:rPr>
              <w:rStyle w:val="PlaceholderText"/>
            </w:rPr>
            <w:t>Clique ou toque aqui para introduzir texto.</w:t>
          </w:r>
        </w:p>
      </w:docPartBody>
    </w:docPart>
    <w:docPart>
      <w:docPartPr>
        <w:name w:val="421BA8C76B97453AABA3EE870A2D2CFF"/>
        <w:category>
          <w:name w:val="General"/>
          <w:gallery w:val="placeholder"/>
        </w:category>
        <w:types>
          <w:type w:val="bbPlcHdr"/>
        </w:types>
        <w:behaviors>
          <w:behavior w:val="content"/>
        </w:behaviors>
        <w:guid w:val="{042A92FE-77C2-4E4E-BFB9-1992EC2BADA8}"/>
      </w:docPartPr>
      <w:docPartBody>
        <w:p w:rsidR="00CD0C4F" w:rsidRDefault="00656443" w:rsidP="00656443">
          <w:pPr>
            <w:pStyle w:val="421BA8C76B97453AABA3EE870A2D2CFF"/>
          </w:pPr>
          <w:r w:rsidRPr="00475617">
            <w:rPr>
              <w:rStyle w:val="PlaceholderText"/>
            </w:rPr>
            <w:t>Clique ou toque aqui para introduzir texto.</w:t>
          </w:r>
        </w:p>
      </w:docPartBody>
    </w:docPart>
    <w:docPart>
      <w:docPartPr>
        <w:name w:val="5E88C625751F4707B578B9D36F759A10"/>
        <w:category>
          <w:name w:val="General"/>
          <w:gallery w:val="placeholder"/>
        </w:category>
        <w:types>
          <w:type w:val="bbPlcHdr"/>
        </w:types>
        <w:behaviors>
          <w:behavior w:val="content"/>
        </w:behaviors>
        <w:guid w:val="{2DEEA312-EBC8-4527-9B32-B0B6B7D6CF9C}"/>
      </w:docPartPr>
      <w:docPartBody>
        <w:p w:rsidR="00CD0C4F" w:rsidRDefault="00656443" w:rsidP="00656443">
          <w:pPr>
            <w:pStyle w:val="5E88C625751F4707B578B9D36F759A10"/>
          </w:pPr>
          <w:r w:rsidRPr="00475617">
            <w:rPr>
              <w:rStyle w:val="PlaceholderText"/>
            </w:rPr>
            <w:t>Clique ou toque aqui para introduzir texto.</w:t>
          </w:r>
        </w:p>
      </w:docPartBody>
    </w:docPart>
    <w:docPart>
      <w:docPartPr>
        <w:name w:val="522920ED96734B2E87AA0581CF0818C4"/>
        <w:category>
          <w:name w:val="Geral"/>
          <w:gallery w:val="placeholder"/>
        </w:category>
        <w:types>
          <w:type w:val="bbPlcHdr"/>
        </w:types>
        <w:behaviors>
          <w:behavior w:val="content"/>
        </w:behaviors>
        <w:guid w:val="{36904956-CDB6-40D5-BDA1-7652C67B7EB7}"/>
      </w:docPartPr>
      <w:docPartBody>
        <w:p w:rsidR="00FE1272" w:rsidRDefault="00073195" w:rsidP="00073195">
          <w:pPr>
            <w:pStyle w:val="522920ED96734B2E87AA0581CF0818C4"/>
          </w:pPr>
          <w:r w:rsidRPr="00475617">
            <w:rPr>
              <w:rStyle w:val="PlaceholderText"/>
            </w:rPr>
            <w:t>Clique ou toque aqui para introduzir texto.</w:t>
          </w:r>
        </w:p>
      </w:docPartBody>
    </w:docPart>
    <w:docPart>
      <w:docPartPr>
        <w:name w:val="AC1564067EB84F958BED59A035A02E01"/>
        <w:category>
          <w:name w:val="Geral"/>
          <w:gallery w:val="placeholder"/>
        </w:category>
        <w:types>
          <w:type w:val="bbPlcHdr"/>
        </w:types>
        <w:behaviors>
          <w:behavior w:val="content"/>
        </w:behaviors>
        <w:guid w:val="{FB913CF5-9E62-4535-A259-81DBA2D6ED91}"/>
      </w:docPartPr>
      <w:docPartBody>
        <w:p w:rsidR="00FE1272" w:rsidRDefault="00073195" w:rsidP="00073195">
          <w:pPr>
            <w:pStyle w:val="AC1564067EB84F958BED59A035A02E01"/>
          </w:pPr>
          <w:r w:rsidRPr="00475617">
            <w:rPr>
              <w:rStyle w:val="PlaceholderText"/>
            </w:rPr>
            <w:t>Clique ou toque aqui para introduzir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Adobe Fan Heiti Std B">
    <w:altName w:val="Yu Gothic"/>
    <w:panose1 w:val="00000000000000000000"/>
    <w:charset w:val="80"/>
    <w:family w:val="swiss"/>
    <w:notTrueType/>
    <w:pitch w:val="variable"/>
    <w:sig w:usb0="00000001" w:usb1="1A0F1900" w:usb2="00000016" w:usb3="00000000" w:csb0="00120005"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Aptos Display">
    <w:charset w:val="00"/>
    <w:family w:val="swiss"/>
    <w:pitch w:val="variable"/>
    <w:sig w:usb0="20000287" w:usb1="00000003" w:usb2="00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6443"/>
    <w:rsid w:val="000118D1"/>
    <w:rsid w:val="000729BD"/>
    <w:rsid w:val="00073195"/>
    <w:rsid w:val="00111DCE"/>
    <w:rsid w:val="00156E86"/>
    <w:rsid w:val="00186446"/>
    <w:rsid w:val="001A1C4B"/>
    <w:rsid w:val="001D2456"/>
    <w:rsid w:val="002452BD"/>
    <w:rsid w:val="0026658F"/>
    <w:rsid w:val="002711E0"/>
    <w:rsid w:val="002A430D"/>
    <w:rsid w:val="00345C7D"/>
    <w:rsid w:val="003B35F7"/>
    <w:rsid w:val="003E25E7"/>
    <w:rsid w:val="0040236D"/>
    <w:rsid w:val="0058353E"/>
    <w:rsid w:val="005E1113"/>
    <w:rsid w:val="005E1DEC"/>
    <w:rsid w:val="00612D8C"/>
    <w:rsid w:val="00656443"/>
    <w:rsid w:val="00665481"/>
    <w:rsid w:val="006D10BA"/>
    <w:rsid w:val="006E64C3"/>
    <w:rsid w:val="006F357B"/>
    <w:rsid w:val="007101EF"/>
    <w:rsid w:val="007B16FD"/>
    <w:rsid w:val="007B5767"/>
    <w:rsid w:val="007F1EEE"/>
    <w:rsid w:val="00816A80"/>
    <w:rsid w:val="009C156D"/>
    <w:rsid w:val="00A77995"/>
    <w:rsid w:val="00A93733"/>
    <w:rsid w:val="00AE7DE2"/>
    <w:rsid w:val="00B3384E"/>
    <w:rsid w:val="00BC5266"/>
    <w:rsid w:val="00BD558C"/>
    <w:rsid w:val="00BF0C3D"/>
    <w:rsid w:val="00C03EBD"/>
    <w:rsid w:val="00C61514"/>
    <w:rsid w:val="00C975C6"/>
    <w:rsid w:val="00CD0C4F"/>
    <w:rsid w:val="00CF37B3"/>
    <w:rsid w:val="00D269AF"/>
    <w:rsid w:val="00D67CB7"/>
    <w:rsid w:val="00EC240B"/>
    <w:rsid w:val="00F770A6"/>
    <w:rsid w:val="00FB32C1"/>
    <w:rsid w:val="00FE1272"/>
  </w:rsids>
  <m:mathPr>
    <m:mathFont m:val="Cambria Math"/>
    <m:brkBin m:val="before"/>
    <m:brkBinSub m:val="--"/>
    <m:smallFrac m:val="0"/>
    <m:dispDef/>
    <m:lMargin m:val="0"/>
    <m:rMargin m:val="0"/>
    <m:defJc m:val="centerGroup"/>
    <m:wrapIndent m:val="1440"/>
    <m:intLim m:val="subSup"/>
    <m:naryLim m:val="undOvr"/>
  </m:mathPr>
  <w:themeFontLang w:val="en-GB" w:eastAsia="zh-CN"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73195"/>
    <w:rPr>
      <w:color w:val="666666"/>
    </w:rPr>
  </w:style>
  <w:style w:type="paragraph" w:customStyle="1" w:styleId="102DD55D5B814468954ACCA87B3F1B29">
    <w:name w:val="102DD55D5B814468954ACCA87B3F1B29"/>
    <w:rsid w:val="00656443"/>
  </w:style>
  <w:style w:type="paragraph" w:customStyle="1" w:styleId="421BA8C76B97453AABA3EE870A2D2CFF">
    <w:name w:val="421BA8C76B97453AABA3EE870A2D2CFF"/>
    <w:rsid w:val="00656443"/>
  </w:style>
  <w:style w:type="paragraph" w:customStyle="1" w:styleId="5E88C625751F4707B578B9D36F759A10">
    <w:name w:val="5E88C625751F4707B578B9D36F759A10"/>
    <w:rsid w:val="00656443"/>
  </w:style>
  <w:style w:type="paragraph" w:customStyle="1" w:styleId="522920ED96734B2E87AA0581CF0818C4">
    <w:name w:val="522920ED96734B2E87AA0581CF0818C4"/>
    <w:rsid w:val="00073195"/>
    <w:pPr>
      <w:spacing w:line="278" w:lineRule="auto"/>
    </w:pPr>
    <w:rPr>
      <w:kern w:val="2"/>
      <w:sz w:val="24"/>
      <w:szCs w:val="24"/>
      <w:lang w:val="pt-PT" w:eastAsia="pt-PT"/>
      <w14:ligatures w14:val="standardContextual"/>
    </w:rPr>
  </w:style>
  <w:style w:type="paragraph" w:customStyle="1" w:styleId="AC1564067EB84F958BED59A035A02E01">
    <w:name w:val="AC1564067EB84F958BED59A035A02E01"/>
    <w:rsid w:val="00073195"/>
    <w:pPr>
      <w:spacing w:line="278" w:lineRule="auto"/>
    </w:pPr>
    <w:rPr>
      <w:kern w:val="2"/>
      <w:sz w:val="24"/>
      <w:szCs w:val="24"/>
      <w:lang w:val="pt-PT" w:eastAsia="pt-PT"/>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1BC4BE3-BACA-4404-AEE3-00870380DC16}">
  <we:reference id="wa104382081" version="1.55.1.0" store="pt-PT" storeType="OMEX"/>
  <we:alternateReferences>
    <we:reference id="WA104382081" version="1.55.1.0" store="WA104382081" storeType="OMEX"/>
  </we:alternateReferences>
  <we:properties>
    <we:property name="MENDELEY_CITATIONS" value="[{&quot;citationID&quot;:&quot;MENDELEY_CITATION_82613e05-de2e-4e5e-8d05-eccac79f3865&quot;,&quot;properties&quot;:{&quot;noteIndex&quot;:0},&quot;isEdited&quot;:false,&quot;manualOverride&quot;:{&quot;isManuallyOverridden&quot;:false,&quot;citeprocText&quot;:&quot;(Malecki et al., 2013)&quot;,&quot;manualOverrideText&quot;:&quot;&quot;},&quot;citationTag&quot;:&quot;MENDELEY_CITATION_v3_eyJjaXRhdGlvbklEIjoiTUVOREVMRVlfQ0lUQVRJT05fODI2MTNlMDUtZGUyZS00ZTVlLThkMDUtZWNjYWM3OWYzODY1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quot;,&quot;citationItems&quot;:[{&quot;id&quot;:&quot;bc35cd37-8441-33a9-a68e-98964a099183&quot;,&quot;itemData&quot;:{&quot;type&quot;:&quot;article-journal&quot;,&quot;id&quot;:&quot;bc35cd37-8441-33a9-a68e-98964a099183&quot;,&quot;title&quot;:&quot;The exoribonuclease Dis3L2 defines a novel eukaryotic RNA degradation pathway&quot;,&quot;author&quot;:[{&quot;family&quot;:&quot;Malecki&quot;,&quot;given&quot;:&quot;Michal&quot;,&quot;parse-names&quot;:false,&quot;dropping-particle&quot;:&quot;&quot;,&quot;non-dropping-particle&quot;:&quot;&quot;},{&quot;family&quot;:&quot;Viegas&quot;,&quot;given&quot;:&quot;Sandra C.&quot;,&quot;parse-names&quot;:false,&quot;dropping-particle&quot;:&quot;&quot;,&quot;non-dropping-particle&quot;:&quot;&quot;},{&quot;family&quot;:&quot;Carneiro&quot;,&quot;given&quot;:&quot;Tiago&quot;,&quot;parse-names&quot;:false,&quot;dropping-particle&quot;:&quot;&quot;,&quot;non-dropping-particle&quot;:&quot;&quot;},{&quot;family&quot;:&quot;Golik&quot;,&quot;given&quot;:&quot;Pawel&quot;,&quot;parse-names&quot;:false,&quot;dropping-particle&quot;:&quot;&quot;,&quot;non-dropping-particle&quot;:&quot;&quot;},{&quot;family&quot;:&quot;Dressaire&quot;,&quot;given&quot;:&quot;Clémentine&quot;,&quot;parse-names&quot;:false,&quot;dropping-particle&quot;:&quot;&quot;,&quot;non-dropping-particle&quot;:&quot;&quot;},{&quot;family&quot;:&quot;Ferreira&quot;,&quot;given&quot;:&quot;Miguel G.&quot;,&quot;parse-names&quot;:false,&quot;dropping-particle&quot;:&quot;&quot;,&quot;non-dropping-particle&quot;:&quot;&quot;},{&quot;family&quot;:&quot;Arraiano&quot;,&quot;given&quot;:&quot;Cecília M.&quot;,&quot;parse-names&quot;:false,&quot;dropping-particle&quot;:&quot;&quot;,&quot;non-dropping-particle&quot;:&quot;&quot;}],&quot;container-title&quot;:&quot;EMBO Journal&quot;,&quot;DOI&quot;:&quot;10.1038/emboj.2013.63&quot;,&quot;ISSN&quot;:&quot;02614189&quot;,&quot;PMID&quot;:&quot;23503588&quot;,&quot;issued&quot;:{&quot;date-parts&quot;:[[2013]]},&quot;page&quot;:&quot;1842-1854&quot;,&quot;abstract&quot;:&quot;The final step of cytoplasmic mRNA degradation proceeds in either a 5′-3′ direction catalysed by Xrn1 or in a 3′-5′ direction catalysed by the exosome. Dis3/Rrp44, an RNase II family protein, is the catalytic subunit of the exosome. In humans, there are three paralogues of this enzyme: DIS3, DIS3L, and DIS3L2. In this work, we identified a novel Schizosaccharomyces pombe exonuclease belonging to the conserved family of human DIS3L2 and plant SOV. Dis3L2 does not interact with the exosome components and localizes in the cytoplasm and in cytoplasmic foci, which are docked to P-bodies. Deletion of dis3l2 + is synthetically lethal with xrn1Δ, while deletion of dis3l2 + in an lsm1Δ background results in the accumulation of transcripts and slower mRNA degradation rates. Accumulated transcripts show enhanced uridylation and in vitro Dis3L2 displays a preference for uridylated substrates. Altogether, our results suggest that in S. pombe, and possibly in most other eukaryotes, Dis3L2 is an important factor in mRNA degradation. Therefore, this novel 3′-5′ RNA decay pathway represents an alternative to degradation by Xrn1 and the exosome. © 2013 European Molecular Biology Organization.&quot;,&quot;issue&quot;:&quot;13&quot;,&quot;volume&quot;:&quot;32&quot;,&quot;container-title-short&quot;:&quot;&quot;},&quot;isTemporary&quot;:false}]},{&quot;citationID&quot;:&quot;MENDELEY_CITATION_9a3dd8d2-9d34-471e-ade6-24072a8b16bd&quot;,&quot;properties&quot;:{&quot;noteIndex&quot;:0},&quot;isEdited&quot;:false,&quot;manualOverride&quot;:{&quot;isManuallyOverridden&quot;:false,&quot;citeprocText&quot;:&quot;(Malecki et al., 2013)&quot;,&quot;manualOverrideText&quot;:&quot;&quot;},&quot;citationTag&quot;:&quot;MENDELEY_CITATION_v3_eyJjaXRhdGlvbklEIjoiTUVOREVMRVlfQ0lUQVRJT05fOWEzZGQ4ZDItOWQzNC00NzFlLWFkZTYtMjQwNzJhOGIxNmJk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quot;,&quot;citationItems&quot;:[{&quot;id&quot;:&quot;bc35cd37-8441-33a9-a68e-98964a099183&quot;,&quot;itemData&quot;:{&quot;type&quot;:&quot;article-journal&quot;,&quot;id&quot;:&quot;bc35cd37-8441-33a9-a68e-98964a099183&quot;,&quot;title&quot;:&quot;The exoribonuclease Dis3L2 defines a novel eukaryotic RNA degradation pathway&quot;,&quot;author&quot;:[{&quot;family&quot;:&quot;Malecki&quot;,&quot;given&quot;:&quot;Michal&quot;,&quot;parse-names&quot;:false,&quot;dropping-particle&quot;:&quot;&quot;,&quot;non-dropping-particle&quot;:&quot;&quot;},{&quot;family&quot;:&quot;Viegas&quot;,&quot;given&quot;:&quot;Sandra C.&quot;,&quot;parse-names&quot;:false,&quot;dropping-particle&quot;:&quot;&quot;,&quot;non-dropping-particle&quot;:&quot;&quot;},{&quot;family&quot;:&quot;Carneiro&quot;,&quot;given&quot;:&quot;Tiago&quot;,&quot;parse-names&quot;:false,&quot;dropping-particle&quot;:&quot;&quot;,&quot;non-dropping-particle&quot;:&quot;&quot;},{&quot;family&quot;:&quot;Golik&quot;,&quot;given&quot;:&quot;Pawel&quot;,&quot;parse-names&quot;:false,&quot;dropping-particle&quot;:&quot;&quot;,&quot;non-dropping-particle&quot;:&quot;&quot;},{&quot;family&quot;:&quot;Dressaire&quot;,&quot;given&quot;:&quot;Clémentine&quot;,&quot;parse-names&quot;:false,&quot;dropping-particle&quot;:&quot;&quot;,&quot;non-dropping-particle&quot;:&quot;&quot;},{&quot;family&quot;:&quot;Ferreira&quot;,&quot;given&quot;:&quot;Miguel G.&quot;,&quot;parse-names&quot;:false,&quot;dropping-particle&quot;:&quot;&quot;,&quot;non-dropping-particle&quot;:&quot;&quot;},{&quot;family&quot;:&quot;Arraiano&quot;,&quot;given&quot;:&quot;Cecília M.&quot;,&quot;parse-names&quot;:false,&quot;dropping-particle&quot;:&quot;&quot;,&quot;non-dropping-particle&quot;:&quot;&quot;}],&quot;container-title&quot;:&quot;EMBO Journal&quot;,&quot;DOI&quot;:&quot;10.1038/emboj.2013.63&quot;,&quot;ISSN&quot;:&quot;02614189&quot;,&quot;PMID&quot;:&quot;23503588&quot;,&quot;issued&quot;:{&quot;date-parts&quot;:[[2013]]},&quot;page&quot;:&quot;1842-1854&quot;,&quot;abstract&quot;:&quot;The final step of cytoplasmic mRNA degradation proceeds in either a 5′-3′ direction catalysed by Xrn1 or in a 3′-5′ direction catalysed by the exosome. Dis3/Rrp44, an RNase II family protein, is the catalytic subunit of the exosome. In humans, there are three paralogues of this enzyme: DIS3, DIS3L, and DIS3L2. In this work, we identified a novel Schizosaccharomyces pombe exonuclease belonging to the conserved family of human DIS3L2 and plant SOV. Dis3L2 does not interact with the exosome components and localizes in the cytoplasm and in cytoplasmic foci, which are docked to P-bodies. Deletion of dis3l2 + is synthetically lethal with xrn1Δ, while deletion of dis3l2 + in an lsm1Δ background results in the accumulation of transcripts and slower mRNA degradation rates. Accumulated transcripts show enhanced uridylation and in vitro Dis3L2 displays a preference for uridylated substrates. Altogether, our results suggest that in S. pombe, and possibly in most other eukaryotes, Dis3L2 is an important factor in mRNA degradation. Therefore, this novel 3′-5′ RNA decay pathway represents an alternative to degradation by Xrn1 and the exosome. © 2013 European Molecular Biology Organization.&quot;,&quot;issue&quot;:&quot;13&quot;,&quot;volume&quot;:&quot;32&quot;,&quot;container-title-short&quot;:&quot;&quot;},&quot;isTemporary&quot;:false}]},{&quot;citationID&quot;:&quot;MENDELEY_CITATION_4de9d7ee-2ec2-4f30-a831-fde8f23d8d81&quot;,&quot;properties&quot;:{&quot;noteIndex&quot;:0},&quot;isEdited&quot;:false,&quot;manualOverride&quot;:{&quot;isManuallyOverridden&quot;:false,&quot;citeprocText&quot;:&quot;(Malecki et al., 2013)&quot;,&quot;manualOverrideText&quot;:&quot;&quot;},&quot;citationTag&quot;:&quot;MENDELEY_CITATION_v3_eyJjaXRhdGlvbklEIjoiTUVOREVMRVlfQ0lUQVRJT05fNGRlOWQ3ZWUtMmVjMi00ZjMwLWE4MzEtZmRlOGYyM2Q4ZDgx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quot;,&quot;citationItems&quot;:[{&quot;id&quot;:&quot;bc35cd37-8441-33a9-a68e-98964a099183&quot;,&quot;itemData&quot;:{&quot;type&quot;:&quot;article-journal&quot;,&quot;id&quot;:&quot;bc35cd37-8441-33a9-a68e-98964a099183&quot;,&quot;title&quot;:&quot;The exoribonuclease Dis3L2 defines a novel eukaryotic RNA degradation pathway&quot;,&quot;author&quot;:[{&quot;family&quot;:&quot;Malecki&quot;,&quot;given&quot;:&quot;Michal&quot;,&quot;parse-names&quot;:false,&quot;dropping-particle&quot;:&quot;&quot;,&quot;non-dropping-particle&quot;:&quot;&quot;},{&quot;family&quot;:&quot;Viegas&quot;,&quot;given&quot;:&quot;Sandra C.&quot;,&quot;parse-names&quot;:false,&quot;dropping-particle&quot;:&quot;&quot;,&quot;non-dropping-particle&quot;:&quot;&quot;},{&quot;family&quot;:&quot;Carneiro&quot;,&quot;given&quot;:&quot;Tiago&quot;,&quot;parse-names&quot;:false,&quot;dropping-particle&quot;:&quot;&quot;,&quot;non-dropping-particle&quot;:&quot;&quot;},{&quot;family&quot;:&quot;Golik&quot;,&quot;given&quot;:&quot;Pawel&quot;,&quot;parse-names&quot;:false,&quot;dropping-particle&quot;:&quot;&quot;,&quot;non-dropping-particle&quot;:&quot;&quot;},{&quot;family&quot;:&quot;Dressaire&quot;,&quot;given&quot;:&quot;Clémentine&quot;,&quot;parse-names&quot;:false,&quot;dropping-particle&quot;:&quot;&quot;,&quot;non-dropping-particle&quot;:&quot;&quot;},{&quot;family&quot;:&quot;Ferreira&quot;,&quot;given&quot;:&quot;Miguel G.&quot;,&quot;parse-names&quot;:false,&quot;dropping-particle&quot;:&quot;&quot;,&quot;non-dropping-particle&quot;:&quot;&quot;},{&quot;family&quot;:&quot;Arraiano&quot;,&quot;given&quot;:&quot;Cecília M.&quot;,&quot;parse-names&quot;:false,&quot;dropping-particle&quot;:&quot;&quot;,&quot;non-dropping-particle&quot;:&quot;&quot;}],&quot;container-title&quot;:&quot;EMBO Journal&quot;,&quot;DOI&quot;:&quot;10.1038/emboj.2013.63&quot;,&quot;ISSN&quot;:&quot;02614189&quot;,&quot;PMID&quot;:&quot;23503588&quot;,&quot;issued&quot;:{&quot;date-parts&quot;:[[2013]]},&quot;page&quot;:&quot;1842-1854&quot;,&quot;abstract&quot;:&quot;The final step of cytoplasmic mRNA degradation proceeds in either a 5′-3′ direction catalysed by Xrn1 or in a 3′-5′ direction catalysed by the exosome. Dis3/Rrp44, an RNase II family protein, is the catalytic subunit of the exosome. In humans, there are three paralogues of this enzyme: DIS3, DIS3L, and DIS3L2. In this work, we identified a novel Schizosaccharomyces pombe exonuclease belonging to the conserved family of human DIS3L2 and plant SOV. Dis3L2 does not interact with the exosome components and localizes in the cytoplasm and in cytoplasmic foci, which are docked to P-bodies. Deletion of dis3l2 + is synthetically lethal with xrn1Δ, while deletion of dis3l2 + in an lsm1Δ background results in the accumulation of transcripts and slower mRNA degradation rates. Accumulated transcripts show enhanced uridylation and in vitro Dis3L2 displays a preference for uridylated substrates. Altogether, our results suggest that in S. pombe, and possibly in most other eukaryotes, Dis3L2 is an important factor in mRNA degradation. Therefore, this novel 3′-5′ RNA decay pathway represents an alternative to degradation by Xrn1 and the exosome. © 2013 European Molecular Biology Organization.&quot;,&quot;issue&quot;:&quot;13&quot;,&quot;volume&quot;:&quot;32&quot;,&quot;container-title-short&quot;:&quot;&quot;},&quot;isTemporary&quot;:false}]},{&quot;citationID&quot;:&quot;MENDELEY_CITATION_00c3a97b-93b5-486f-9e32-0fa186f3cda9&quot;,&quot;properties&quot;:{&quot;noteIndex&quot;:0},&quot;isEdited&quot;:false,&quot;manualOverride&quot;:{&quot;isManuallyOverridden&quot;:false,&quot;citeprocText&quot;:&quot;(Malecki et al., 2013)&quot;,&quot;manualOverrideText&quot;:&quot;&quot;},&quot;citationTag&quot;:&quot;MENDELEY_CITATION_v3_eyJjaXRhdGlvbklEIjoiTUVOREVMRVlfQ0lUQVRJT05fMDBjM2E5N2ItOTNiNS00ODZmLTllMzItMGZhMTg2ZjNjZGE5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quot;,&quot;citationItems&quot;:[{&quot;id&quot;:&quot;bc35cd37-8441-33a9-a68e-98964a099183&quot;,&quot;itemData&quot;:{&quot;type&quot;:&quot;article-journal&quot;,&quot;id&quot;:&quot;bc35cd37-8441-33a9-a68e-98964a099183&quot;,&quot;title&quot;:&quot;The exoribonuclease Dis3L2 defines a novel eukaryotic RNA degradation pathway&quot;,&quot;author&quot;:[{&quot;family&quot;:&quot;Malecki&quot;,&quot;given&quot;:&quot;Michal&quot;,&quot;parse-names&quot;:false,&quot;dropping-particle&quot;:&quot;&quot;,&quot;non-dropping-particle&quot;:&quot;&quot;},{&quot;family&quot;:&quot;Viegas&quot;,&quot;given&quot;:&quot;Sandra C.&quot;,&quot;parse-names&quot;:false,&quot;dropping-particle&quot;:&quot;&quot;,&quot;non-dropping-particle&quot;:&quot;&quot;},{&quot;family&quot;:&quot;Carneiro&quot;,&quot;given&quot;:&quot;Tiago&quot;,&quot;parse-names&quot;:false,&quot;dropping-particle&quot;:&quot;&quot;,&quot;non-dropping-particle&quot;:&quot;&quot;},{&quot;family&quot;:&quot;Golik&quot;,&quot;given&quot;:&quot;Pawel&quot;,&quot;parse-names&quot;:false,&quot;dropping-particle&quot;:&quot;&quot;,&quot;non-dropping-particle&quot;:&quot;&quot;},{&quot;family&quot;:&quot;Dressaire&quot;,&quot;given&quot;:&quot;Clémentine&quot;,&quot;parse-names&quot;:false,&quot;dropping-particle&quot;:&quot;&quot;,&quot;non-dropping-particle&quot;:&quot;&quot;},{&quot;family&quot;:&quot;Ferreira&quot;,&quot;given&quot;:&quot;Miguel G.&quot;,&quot;parse-names&quot;:false,&quot;dropping-particle&quot;:&quot;&quot;,&quot;non-dropping-particle&quot;:&quot;&quot;},{&quot;family&quot;:&quot;Arraiano&quot;,&quot;given&quot;:&quot;Cecília M.&quot;,&quot;parse-names&quot;:false,&quot;dropping-particle&quot;:&quot;&quot;,&quot;non-dropping-particle&quot;:&quot;&quot;}],&quot;container-title&quot;:&quot;EMBO Journal&quot;,&quot;DOI&quot;:&quot;10.1038/emboj.2013.63&quot;,&quot;ISSN&quot;:&quot;02614189&quot;,&quot;PMID&quot;:&quot;23503588&quot;,&quot;issued&quot;:{&quot;date-parts&quot;:[[2013]]},&quot;page&quot;:&quot;1842-1854&quot;,&quot;abstract&quot;:&quot;The final step of cytoplasmic mRNA degradation proceeds in either a 5′-3′ direction catalysed by Xrn1 or in a 3′-5′ direction catalysed by the exosome. Dis3/Rrp44, an RNase II family protein, is the catalytic subunit of the exosome. In humans, there are three paralogues of this enzyme: DIS3, DIS3L, and DIS3L2. In this work, we identified a novel Schizosaccharomyces pombe exonuclease belonging to the conserved family of human DIS3L2 and plant SOV. Dis3L2 does not interact with the exosome components and localizes in the cytoplasm and in cytoplasmic foci, which are docked to P-bodies. Deletion of dis3l2 + is synthetically lethal with xrn1Δ, while deletion of dis3l2 + in an lsm1Δ background results in the accumulation of transcripts and slower mRNA degradation rates. Accumulated transcripts show enhanced uridylation and in vitro Dis3L2 displays a preference for uridylated substrates. Altogether, our results suggest that in S. pombe, and possibly in most other eukaryotes, Dis3L2 is an important factor in mRNA degradation. Therefore, this novel 3′-5′ RNA decay pathway represents an alternative to degradation by Xrn1 and the exosome. © 2013 European Molecular Biology Organization.&quot;,&quot;issue&quot;:&quot;13&quot;,&quot;volume&quot;:&quot;32&quot;,&quot;container-title-short&quot;:&quot;&quot;},&quot;isTemporary&quot;:false}]},{&quot;citationID&quot;:&quot;MENDELEY_CITATION_330f5808-c278-4d0d-a65f-e2ce6d737c32&quot;,&quot;properties&quot;:{&quot;noteIndex&quot;:0},&quot;isEdited&quot;:false,&quot;manualOverride&quot;:{&quot;isManuallyOverridden&quot;:false,&quot;citeprocText&quot;:&quot;(Malecki et al., 2013)&quot;,&quot;manualOverrideText&quot;:&quot;&quot;},&quot;citationTag&quot;:&quot;MENDELEY_CITATION_v3_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&quot;,&quot;citationItems&quot;:[{&quot;id&quot;:&quot;bc35cd37-8441-33a9-a68e-98964a099183&quot;,&quot;itemData&quot;:{&quot;type&quot;:&quot;article-journal&quot;,&quot;id&quot;:&quot;bc35cd37-8441-33a9-a68e-98964a099183&quot;,&quot;title&quot;:&quot;The exoribonuclease Dis3L2 defines a novel eukaryotic RNA degradation pathway&quot;,&quot;author&quot;:[{&quot;family&quot;:&quot;Malecki&quot;,&quot;given&quot;:&quot;Michal&quot;,&quot;parse-names&quot;:false,&quot;dropping-particle&quot;:&quot;&quot;,&quot;non-dropping-particle&quot;:&quot;&quot;},{&quot;family&quot;:&quot;Viegas&quot;,&quot;given&quot;:&quot;Sandra C.&quot;,&quot;parse-names&quot;:false,&quot;dropping-particle&quot;:&quot;&quot;,&quot;non-dropping-particle&quot;:&quot;&quot;},{&quot;family&quot;:&quot;Carneiro&quot;,&quot;given&quot;:&quot;Tiago&quot;,&quot;parse-names&quot;:false,&quot;dropping-particle&quot;:&quot;&quot;,&quot;non-dropping-particle&quot;:&quot;&quot;},{&quot;family&quot;:&quot;Golik&quot;,&quot;given&quot;:&quot;Pawel&quot;,&quot;parse-names&quot;:false,&quot;dropping-particle&quot;:&quot;&quot;,&quot;non-dropping-particle&quot;:&quot;&quot;},{&quot;family&quot;:&quot;Dressaire&quot;,&quot;given&quot;:&quot;Clémentine&quot;,&quot;parse-names&quot;:false,&quot;dropping-particle&quot;:&quot;&quot;,&quot;non-dropping-particle&quot;:&quot;&quot;},{&quot;family&quot;:&quot;Ferreira&quot;,&quot;given&quot;:&quot;Miguel G.&quot;,&quot;parse-names&quot;:false,&quot;dropping-particle&quot;:&quot;&quot;,&quot;non-dropping-particle&quot;:&quot;&quot;},{&quot;family&quot;:&quot;Arraiano&quot;,&quot;given&quot;:&quot;Cecília M.&quot;,&quot;parse-names&quot;:false,&quot;dropping-particle&quot;:&quot;&quot;,&quot;non-dropping-particle&quot;:&quot;&quot;}],&quot;container-title&quot;:&quot;EMBO Journal&quot;,&quot;DOI&quot;:&quot;10.1038/emboj.2013.63&quot;,&quot;ISSN&quot;:&quot;02614189&quot;,&quot;PMID&quot;:&quot;23503588&quot;,&quot;issued&quot;:{&quot;date-parts&quot;:[[2013]]},&quot;page&quot;:&quot;1842-1854&quot;,&quot;abstract&quot;:&quot;The final step of cytoplasmic mRNA degradation proceeds in either a 5′-3′ direction catalysed by Xrn1 or in a 3′-5′ direction catalysed by the exosome. Dis3/Rrp44, an RNase II family protein, is the catalytic subunit of the exosome. In humans, there are three paralogues of this enzyme: DIS3, DIS3L, and DIS3L2. In this work, we identified a novel Schizosaccharomyces pombe exonuclease belonging to the conserved family of human DIS3L2 and plant SOV. Dis3L2 does not interact with the exosome components and localizes in the cytoplasm and in cytoplasmic foci, which are docked to P-bodies. Deletion of dis3l2 + is synthetically lethal with xrn1Δ, while deletion of dis3l2 + in an lsm1Δ background results in the accumulation of transcripts and slower mRNA degradation rates. Accumulated transcripts show enhanced uridylation and in vitro Dis3L2 displays a preference for uridylated substrates. Altogether, our results suggest that in S. pombe, and possibly in most other eukaryotes, Dis3L2 is an important factor in mRNA degradation. Therefore, this novel 3′-5′ RNA decay pathway represents an alternative to degradation by Xrn1 and the exosome. © 2013 European Molecular Biology Organization.&quot;,&quot;issue&quot;:&quot;13&quot;,&quot;volume&quot;:&quot;32&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7296F9-DDFE-4605-A59B-0DE13C51D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11</Pages>
  <Words>1375</Words>
  <Characters>7431</Characters>
  <Application>Microsoft Office Word</Application>
  <DocSecurity>0</DocSecurity>
  <Lines>61</Lines>
  <Paragraphs>17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ITQB Nova</Company>
  <LinksUpToDate>false</LinksUpToDate>
  <CharactersWithSpaces>8789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Viegas</dc:creator>
  <cp:keywords/>
  <dc:description/>
  <cp:lastModifiedBy>Sandra  Viegas</cp:lastModifiedBy>
  <cp:revision>3</cp:revision>
  <dcterms:created xsi:type="dcterms:W3CDTF">2025-09-15T16:18:00Z</dcterms:created>
  <dcterms:modified xsi:type="dcterms:W3CDTF">2025-09-15T16:27:00Z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d63fb556-d094-455c-b04c-47bfd946032b</vt:lpwstr>
  </property>
</Properties>
</file>