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4495" w14:textId="77777777" w:rsidR="00465FD0" w:rsidRPr="00171A53" w:rsidRDefault="00465FD0" w:rsidP="00465FD0">
      <w:pPr>
        <w:spacing w:afterLines="120" w:after="288" w:line="480" w:lineRule="auto"/>
        <w:jc w:val="both"/>
        <w:rPr>
          <w:b/>
          <w:bCs/>
          <w:color w:val="000000" w:themeColor="text1"/>
          <w:sz w:val="22"/>
          <w:szCs w:val="22"/>
        </w:rPr>
      </w:pPr>
      <w:r w:rsidRPr="00171A53">
        <w:rPr>
          <w:b/>
          <w:bCs/>
          <w:color w:val="000000" w:themeColor="text1"/>
          <w:sz w:val="22"/>
          <w:szCs w:val="22"/>
        </w:rPr>
        <w:t>SUPPLEMENTAL FIGURE LEGEND</w:t>
      </w:r>
    </w:p>
    <w:p w14:paraId="5FE4CCB0" w14:textId="77777777" w:rsidR="00465FD0" w:rsidRPr="00171A53" w:rsidRDefault="00465FD0" w:rsidP="00465FD0">
      <w:pPr>
        <w:spacing w:afterLines="120" w:after="288" w:line="480" w:lineRule="auto"/>
        <w:jc w:val="both"/>
        <w:rPr>
          <w:b/>
          <w:bCs/>
          <w:color w:val="000000" w:themeColor="text1"/>
          <w:sz w:val="22"/>
          <w:szCs w:val="22"/>
        </w:rPr>
      </w:pPr>
      <w:r w:rsidRPr="00171A53">
        <w:rPr>
          <w:b/>
          <w:bCs/>
          <w:color w:val="000000" w:themeColor="text1"/>
          <w:sz w:val="22"/>
          <w:szCs w:val="22"/>
        </w:rPr>
        <w:t xml:space="preserve">Figure S1. </w:t>
      </w:r>
      <w:r w:rsidRPr="00171A53">
        <w:rPr>
          <w:b/>
          <w:bCs/>
          <w:i/>
          <w:iCs/>
          <w:color w:val="000000" w:themeColor="text1"/>
          <w:sz w:val="22"/>
          <w:szCs w:val="22"/>
        </w:rPr>
        <w:t>In silico</w:t>
      </w:r>
      <w:r w:rsidRPr="00171A53">
        <w:rPr>
          <w:b/>
          <w:bCs/>
          <w:color w:val="000000" w:themeColor="text1"/>
          <w:sz w:val="22"/>
          <w:szCs w:val="22"/>
        </w:rPr>
        <w:t xml:space="preserve"> analysis of canonical and non-canonical rG4 motifs in various RNA and DNA viruses, compared to mammals.</w:t>
      </w:r>
    </w:p>
    <w:p w14:paraId="678D5D7E" w14:textId="77777777" w:rsidR="00465FD0" w:rsidRPr="00171A53" w:rsidRDefault="00465FD0" w:rsidP="00465FD0">
      <w:pPr>
        <w:spacing w:afterLines="120" w:after="288" w:line="480" w:lineRule="auto"/>
        <w:jc w:val="both"/>
        <w:rPr>
          <w:color w:val="000000" w:themeColor="text1"/>
          <w:sz w:val="22"/>
          <w:szCs w:val="22"/>
        </w:rPr>
      </w:pPr>
      <w:r w:rsidRPr="00171A53">
        <w:rPr>
          <w:color w:val="000000" w:themeColor="text1"/>
          <w:sz w:val="22"/>
          <w:szCs w:val="22"/>
        </w:rPr>
        <w:t>Scatter plots show the density (motifs per kb) of four rG4 classes. Scatter plots present virus species with double-stranded DNA (dsDNA), double-stranded RNA (dsRNA), and single-stranded RNA (</w:t>
      </w:r>
      <w:proofErr w:type="spellStart"/>
      <w:r w:rsidRPr="00171A53">
        <w:rPr>
          <w:color w:val="000000" w:themeColor="text1"/>
          <w:sz w:val="22"/>
          <w:szCs w:val="22"/>
        </w:rPr>
        <w:t>ssRNA</w:t>
      </w:r>
      <w:proofErr w:type="spellEnd"/>
      <w:r w:rsidRPr="00171A53">
        <w:rPr>
          <w:color w:val="000000" w:themeColor="text1"/>
          <w:sz w:val="22"/>
          <w:szCs w:val="22"/>
        </w:rPr>
        <w:t>), as well as the genome and transcriptome of mammalian species, as indicated.</w:t>
      </w:r>
    </w:p>
    <w:p w14:paraId="354897A5" w14:textId="77777777" w:rsidR="00465FD0" w:rsidRPr="00171A53" w:rsidRDefault="00465FD0" w:rsidP="00465FD0">
      <w:pPr>
        <w:spacing w:afterLines="120" w:after="288" w:line="480" w:lineRule="auto"/>
        <w:jc w:val="both"/>
        <w:rPr>
          <w:color w:val="000000" w:themeColor="text1"/>
          <w:sz w:val="22"/>
          <w:szCs w:val="22"/>
        </w:rPr>
      </w:pPr>
    </w:p>
    <w:p w14:paraId="3CEE6BDC" w14:textId="77777777" w:rsidR="00465FD0" w:rsidRPr="003B3729" w:rsidRDefault="00465FD0" w:rsidP="00465FD0">
      <w:pPr>
        <w:spacing w:afterLines="120" w:after="288" w:line="480" w:lineRule="auto"/>
        <w:jc w:val="both"/>
        <w:rPr>
          <w:rFonts w:ascii="Calibri" w:hAnsi="Calibri" w:cstheme="minorHAnsi"/>
          <w:b/>
          <w:color w:val="000000" w:themeColor="text1"/>
          <w:sz w:val="22"/>
          <w:szCs w:val="22"/>
        </w:rPr>
      </w:pPr>
      <w:r w:rsidRPr="003B3729">
        <w:rPr>
          <w:rFonts w:ascii="Calibri" w:hAnsi="Calibri" w:cstheme="minorHAnsi"/>
          <w:b/>
          <w:bCs/>
          <w:color w:val="000000" w:themeColor="text1"/>
          <w:sz w:val="22"/>
          <w:szCs w:val="22"/>
        </w:rPr>
        <w:t xml:space="preserve">Figure S2. </w:t>
      </w:r>
      <w:r w:rsidRPr="003B3729">
        <w:rPr>
          <w:rFonts w:ascii="Calibri" w:hAnsi="Calibri" w:cstheme="minorHAnsi"/>
          <w:b/>
          <w:color w:val="000000" w:themeColor="text1"/>
          <w:sz w:val="22"/>
          <w:szCs w:val="22"/>
        </w:rPr>
        <w:t>d-rG4-seq read counts across the OC43 genome.</w:t>
      </w:r>
    </w:p>
    <w:p w14:paraId="21ACA560" w14:textId="77777777" w:rsidR="00465FD0" w:rsidRPr="003B3729" w:rsidRDefault="00465FD0" w:rsidP="00465FD0">
      <w:pPr>
        <w:spacing w:afterLines="120" w:after="288" w:line="480" w:lineRule="auto"/>
        <w:jc w:val="both"/>
        <w:rPr>
          <w:rFonts w:ascii="Calibri" w:hAnsi="Calibri" w:cstheme="minorHAnsi"/>
          <w:color w:val="000000" w:themeColor="text1"/>
          <w:sz w:val="22"/>
          <w:szCs w:val="22"/>
        </w:rPr>
      </w:pPr>
      <w:r w:rsidRPr="003B3729">
        <w:rPr>
          <w:rFonts w:ascii="Calibri" w:hAnsi="Calibri" w:cstheme="minorHAnsi"/>
          <w:color w:val="000000" w:themeColor="text1"/>
          <w:sz w:val="22"/>
          <w:szCs w:val="22"/>
        </w:rPr>
        <w:t>Alignment tracks indicate sequencing read coverage across the 30-kb OC43 genome in samples treated without DMS (D-) or with DMS (D+), under Li</w:t>
      </w:r>
      <w:r w:rsidRPr="003B3729">
        <w:rPr>
          <w:rFonts w:ascii="Calibri" w:hAnsi="Calibri" w:cstheme="minorHAnsi"/>
          <w:color w:val="000000" w:themeColor="text1"/>
          <w:sz w:val="22"/>
          <w:szCs w:val="22"/>
          <w:vertAlign w:val="superscript"/>
        </w:rPr>
        <w:t>+</w:t>
      </w:r>
      <w:r w:rsidRPr="003B3729">
        <w:rPr>
          <w:rFonts w:ascii="Calibri" w:hAnsi="Calibri" w:cstheme="minorHAnsi"/>
          <w:color w:val="000000" w:themeColor="text1"/>
          <w:sz w:val="22"/>
          <w:szCs w:val="22"/>
        </w:rPr>
        <w:t xml:space="preserve"> or K</w:t>
      </w:r>
      <w:r w:rsidRPr="003B3729">
        <w:rPr>
          <w:rFonts w:ascii="Calibri" w:hAnsi="Calibri" w:cstheme="minorHAnsi"/>
          <w:color w:val="000000" w:themeColor="text1"/>
          <w:sz w:val="22"/>
          <w:szCs w:val="22"/>
          <w:vertAlign w:val="superscript"/>
        </w:rPr>
        <w:t>+</w:t>
      </w:r>
      <w:r w:rsidRPr="003B3729">
        <w:rPr>
          <w:rFonts w:ascii="Calibri" w:hAnsi="Calibri" w:cstheme="minorHAnsi"/>
          <w:color w:val="000000" w:themeColor="text1"/>
          <w:sz w:val="22"/>
          <w:szCs w:val="22"/>
        </w:rPr>
        <w:t xml:space="preserve"> conditions.  </w:t>
      </w:r>
    </w:p>
    <w:p w14:paraId="77510E2B" w14:textId="77777777" w:rsidR="00465FD0" w:rsidRPr="003B3729" w:rsidRDefault="00465FD0" w:rsidP="00465FD0">
      <w:pPr>
        <w:spacing w:afterLines="120" w:after="288" w:line="480" w:lineRule="auto"/>
        <w:jc w:val="both"/>
        <w:rPr>
          <w:rFonts w:ascii="Calibri" w:hAnsi="Calibri" w:cstheme="minorHAnsi"/>
          <w:b/>
          <w:bCs/>
          <w:color w:val="000000" w:themeColor="text1"/>
          <w:sz w:val="22"/>
          <w:szCs w:val="22"/>
        </w:rPr>
      </w:pPr>
    </w:p>
    <w:p w14:paraId="7B996D98" w14:textId="77777777" w:rsidR="00465FD0" w:rsidRPr="003B3729" w:rsidRDefault="00465FD0" w:rsidP="00465FD0">
      <w:pPr>
        <w:spacing w:afterLines="120" w:after="288" w:line="480" w:lineRule="auto"/>
        <w:jc w:val="both"/>
        <w:rPr>
          <w:rFonts w:ascii="Calibri" w:hAnsi="Calibri" w:cstheme="minorHAnsi"/>
          <w:b/>
          <w:bCs/>
          <w:color w:val="000000" w:themeColor="text1"/>
          <w:sz w:val="22"/>
          <w:szCs w:val="22"/>
        </w:rPr>
      </w:pPr>
      <w:r w:rsidRPr="003B3729">
        <w:rPr>
          <w:rFonts w:ascii="Calibri" w:hAnsi="Calibri" w:cstheme="minorHAnsi"/>
          <w:b/>
          <w:bCs/>
          <w:color w:val="000000" w:themeColor="text1"/>
          <w:sz w:val="22"/>
          <w:szCs w:val="22"/>
        </w:rPr>
        <w:t>Figure S3. K</w:t>
      </w:r>
      <w:r w:rsidRPr="003B3729">
        <w:rPr>
          <w:rFonts w:ascii="Calibri" w:hAnsi="Calibri" w:cstheme="minorHAnsi"/>
          <w:b/>
          <w:bCs/>
          <w:color w:val="000000" w:themeColor="text1"/>
          <w:sz w:val="22"/>
          <w:szCs w:val="22"/>
          <w:vertAlign w:val="superscript"/>
        </w:rPr>
        <w:t>+</w:t>
      </w:r>
      <w:r w:rsidRPr="003B3729">
        <w:rPr>
          <w:rFonts w:ascii="Calibri" w:hAnsi="Calibri" w:cstheme="minorHAnsi"/>
          <w:b/>
          <w:bCs/>
          <w:color w:val="000000" w:themeColor="text1"/>
          <w:sz w:val="22"/>
          <w:szCs w:val="22"/>
        </w:rPr>
        <w:t xml:space="preserve"> dependent RT-stops identify the potential rG4 folding motifs.</w:t>
      </w:r>
    </w:p>
    <w:p w14:paraId="480E68AA" w14:textId="77777777" w:rsidR="00465FD0" w:rsidRPr="003B3729" w:rsidRDefault="00465FD0" w:rsidP="00465FD0">
      <w:pPr>
        <w:spacing w:afterLines="120" w:after="288" w:line="480" w:lineRule="auto"/>
        <w:jc w:val="both"/>
        <w:rPr>
          <w:rFonts w:ascii="Calibri" w:hAnsi="Calibri" w:cstheme="minorHAnsi"/>
          <w:bCs/>
          <w:color w:val="000000" w:themeColor="text1"/>
          <w:sz w:val="22"/>
          <w:szCs w:val="22"/>
        </w:rPr>
      </w:pPr>
      <w:r w:rsidRPr="003B3729">
        <w:rPr>
          <w:rFonts w:ascii="Calibri" w:hAnsi="Calibri" w:cstheme="minorHAnsi"/>
          <w:bCs/>
          <w:color w:val="000000" w:themeColor="text1"/>
          <w:sz w:val="22"/>
          <w:szCs w:val="22"/>
        </w:rPr>
        <w:t xml:space="preserve">(A) Nucleotide composition at 3 </w:t>
      </w:r>
      <w:proofErr w:type="spellStart"/>
      <w:r w:rsidRPr="003B3729">
        <w:rPr>
          <w:rFonts w:ascii="Calibri" w:hAnsi="Calibri" w:cstheme="minorHAnsi"/>
          <w:bCs/>
          <w:color w:val="000000" w:themeColor="text1"/>
          <w:sz w:val="22"/>
          <w:szCs w:val="22"/>
        </w:rPr>
        <w:t>nt</w:t>
      </w:r>
      <w:proofErr w:type="spellEnd"/>
      <w:r w:rsidRPr="003B3729">
        <w:rPr>
          <w:rFonts w:ascii="Calibri" w:hAnsi="Calibri" w:cstheme="minorHAnsi"/>
          <w:bCs/>
          <w:color w:val="000000" w:themeColor="text1"/>
          <w:sz w:val="22"/>
          <w:szCs w:val="22"/>
        </w:rPr>
        <w:t xml:space="preserve"> upstream of strong RT-stop sites.  Strong RT-stop sites are identified from the nucleotide positions accumulating more than 50% RT-stop frequency and &gt;20 reads. </w:t>
      </w:r>
    </w:p>
    <w:p w14:paraId="6BD212C1" w14:textId="77777777" w:rsidR="00465FD0" w:rsidRPr="003B3729" w:rsidRDefault="00465FD0" w:rsidP="00465FD0">
      <w:pPr>
        <w:spacing w:afterLines="120" w:after="288" w:line="480" w:lineRule="auto"/>
        <w:jc w:val="both"/>
        <w:rPr>
          <w:rFonts w:ascii="Calibri" w:hAnsi="Calibri" w:cstheme="minorHAnsi"/>
          <w:bCs/>
          <w:color w:val="000000" w:themeColor="text1"/>
          <w:sz w:val="22"/>
          <w:szCs w:val="22"/>
        </w:rPr>
      </w:pPr>
      <w:r w:rsidRPr="003B3729">
        <w:rPr>
          <w:rFonts w:ascii="Calibri" w:hAnsi="Calibri" w:cstheme="minorHAnsi"/>
          <w:bCs/>
          <w:color w:val="000000" w:themeColor="text1"/>
          <w:sz w:val="22"/>
          <w:szCs w:val="22"/>
        </w:rPr>
        <w:t>(B) K</w:t>
      </w:r>
      <w:r w:rsidRPr="003B3729">
        <w:rPr>
          <w:rFonts w:ascii="Calibri" w:hAnsi="Calibri" w:cstheme="minorHAnsi"/>
          <w:bCs/>
          <w:color w:val="000000" w:themeColor="text1"/>
          <w:sz w:val="22"/>
          <w:szCs w:val="22"/>
          <w:vertAlign w:val="superscript"/>
        </w:rPr>
        <w:t>+</w:t>
      </w:r>
      <w:r w:rsidRPr="003B3729">
        <w:rPr>
          <w:rFonts w:ascii="Calibri" w:hAnsi="Calibri" w:cstheme="minorHAnsi"/>
          <w:bCs/>
          <w:color w:val="000000" w:themeColor="text1"/>
          <w:sz w:val="22"/>
          <w:szCs w:val="22"/>
        </w:rPr>
        <w:t xml:space="preserve"> dependent RT-stop formation in MALAT1</w:t>
      </w:r>
      <w:r w:rsidRPr="003B3729">
        <w:rPr>
          <w:rFonts w:ascii="Calibri" w:hAnsi="Calibri" w:cstheme="minorHAnsi"/>
          <w:bCs/>
          <w:i/>
          <w:iCs/>
          <w:color w:val="000000" w:themeColor="text1"/>
          <w:sz w:val="22"/>
          <w:szCs w:val="22"/>
        </w:rPr>
        <w:t xml:space="preserve">. </w:t>
      </w:r>
      <w:r w:rsidRPr="003B3729">
        <w:rPr>
          <w:rFonts w:ascii="Calibri" w:hAnsi="Calibri" w:cstheme="minorHAnsi"/>
          <w:bCs/>
          <w:color w:val="000000" w:themeColor="text1"/>
          <w:sz w:val="22"/>
          <w:szCs w:val="22"/>
        </w:rPr>
        <w:t>RT-stops are plotted on MALAT1 RNA region. K</w:t>
      </w:r>
      <w:r w:rsidRPr="003B3729">
        <w:rPr>
          <w:rFonts w:ascii="Calibri" w:hAnsi="Calibri" w:cstheme="minorHAnsi"/>
          <w:bCs/>
          <w:color w:val="000000" w:themeColor="text1"/>
          <w:sz w:val="22"/>
          <w:szCs w:val="22"/>
          <w:vertAlign w:val="superscript"/>
        </w:rPr>
        <w:t xml:space="preserve">+ </w:t>
      </w:r>
      <w:r w:rsidRPr="003B3729">
        <w:rPr>
          <w:rFonts w:ascii="Calibri" w:hAnsi="Calibri" w:cstheme="minorHAnsi"/>
          <w:bCs/>
          <w:color w:val="000000" w:themeColor="text1"/>
          <w:sz w:val="22"/>
          <w:szCs w:val="22"/>
        </w:rPr>
        <w:t>dependent RT-stop frequency is calculated by subtracting the RT-stop frequency of the Li</w:t>
      </w:r>
      <w:r w:rsidRPr="003B3729">
        <w:rPr>
          <w:rFonts w:ascii="Calibri" w:hAnsi="Calibri" w:cstheme="minorHAnsi"/>
          <w:bCs/>
          <w:color w:val="000000" w:themeColor="text1"/>
          <w:sz w:val="22"/>
          <w:szCs w:val="22"/>
          <w:vertAlign w:val="superscript"/>
        </w:rPr>
        <w:t>+</w:t>
      </w:r>
      <w:r w:rsidRPr="003B3729">
        <w:rPr>
          <w:rFonts w:ascii="Calibri" w:hAnsi="Calibri" w:cstheme="minorHAnsi"/>
          <w:bCs/>
          <w:color w:val="000000" w:themeColor="text1"/>
          <w:sz w:val="22"/>
          <w:szCs w:val="22"/>
        </w:rPr>
        <w:t xml:space="preserve"> sample from the K</w:t>
      </w:r>
      <w:r w:rsidRPr="003B3729">
        <w:rPr>
          <w:rFonts w:ascii="Calibri" w:hAnsi="Calibri" w:cstheme="minorHAnsi"/>
          <w:bCs/>
          <w:color w:val="000000" w:themeColor="text1"/>
          <w:sz w:val="22"/>
          <w:szCs w:val="22"/>
          <w:vertAlign w:val="superscript"/>
        </w:rPr>
        <w:t>+</w:t>
      </w:r>
      <w:r w:rsidRPr="003B3729">
        <w:rPr>
          <w:rFonts w:ascii="Calibri" w:hAnsi="Calibri" w:cstheme="minorHAnsi"/>
          <w:bCs/>
          <w:color w:val="000000" w:themeColor="text1"/>
          <w:sz w:val="22"/>
          <w:szCs w:val="22"/>
        </w:rPr>
        <w:t xml:space="preserve"> RT-stop</w:t>
      </w:r>
      <w:r w:rsidRPr="003B3729">
        <w:rPr>
          <w:rFonts w:eastAsia="Times New Roman" w:cstheme="minorHAnsi"/>
          <w:color w:val="000000" w:themeColor="text1"/>
          <w:sz w:val="22"/>
          <w:szCs w:val="22"/>
          <w:lang w:eastAsia="en-US"/>
        </w:rPr>
        <w:t xml:space="preserve">. </w:t>
      </w:r>
      <w:r w:rsidRPr="003B3729">
        <w:rPr>
          <w:rFonts w:ascii="Calibri" w:hAnsi="Calibri" w:cstheme="minorHAnsi"/>
          <w:bCs/>
          <w:color w:val="000000" w:themeColor="text1"/>
          <w:sz w:val="22"/>
          <w:szCs w:val="22"/>
        </w:rPr>
        <w:t xml:space="preserve"> The nucleotide sequences of the RT-stop sites are shown with different colors as indicated. Motif sequences located in the immediate upstream sequences of strong RT-stop sites are shown in the left panel.</w:t>
      </w:r>
    </w:p>
    <w:p w14:paraId="75265D83" w14:textId="77777777" w:rsidR="00465FD0" w:rsidRPr="003B3729" w:rsidRDefault="00465FD0" w:rsidP="00465FD0">
      <w:pPr>
        <w:spacing w:afterLines="120" w:after="288" w:line="480" w:lineRule="auto"/>
        <w:jc w:val="both"/>
        <w:rPr>
          <w:rFonts w:ascii="Calibri" w:hAnsi="Calibri" w:cstheme="minorHAnsi"/>
          <w:b/>
          <w:bCs/>
          <w:color w:val="000000" w:themeColor="text1"/>
          <w:sz w:val="22"/>
          <w:szCs w:val="22"/>
        </w:rPr>
      </w:pPr>
      <w:r w:rsidRPr="003B3729">
        <w:rPr>
          <w:rFonts w:ascii="Calibri" w:hAnsi="Calibri" w:cstheme="minorHAnsi"/>
          <w:bCs/>
          <w:color w:val="000000" w:themeColor="text1"/>
          <w:sz w:val="22"/>
          <w:szCs w:val="22"/>
        </w:rPr>
        <w:lastRenderedPageBreak/>
        <w:t xml:space="preserve">(C) G-quadruplex ligand binding to two distinct OC43 rG4-forming fragments. </w:t>
      </w:r>
      <w:r w:rsidRPr="003B3729">
        <w:rPr>
          <w:rFonts w:ascii="Calibri" w:hAnsi="Calibri" w:cstheme="minorHAnsi"/>
          <w:bCs/>
          <w:i/>
          <w:iCs/>
          <w:color w:val="000000" w:themeColor="text1"/>
          <w:sz w:val="22"/>
          <w:szCs w:val="22"/>
        </w:rPr>
        <w:t>In vitro</w:t>
      </w:r>
      <w:r w:rsidRPr="003B3729">
        <w:rPr>
          <w:rFonts w:ascii="Calibri" w:hAnsi="Calibri" w:cstheme="minorHAnsi"/>
          <w:bCs/>
          <w:color w:val="000000" w:themeColor="text1"/>
          <w:sz w:val="22"/>
          <w:szCs w:val="22"/>
        </w:rPr>
        <w:t xml:space="preserve"> transcribed RNA fragments were incubated with 10 </w:t>
      </w:r>
      <w:r w:rsidRPr="003B3729">
        <w:rPr>
          <w:rFonts w:ascii="Symbol" w:hAnsi="Symbol" w:cstheme="minorHAnsi"/>
          <w:bCs/>
          <w:color w:val="000000" w:themeColor="text1"/>
          <w:sz w:val="22"/>
          <w:szCs w:val="22"/>
        </w:rPr>
        <w:t>m</w:t>
      </w:r>
      <w:r w:rsidRPr="003B3729">
        <w:rPr>
          <w:rFonts w:ascii="Calibri" w:hAnsi="Calibri" w:cstheme="minorHAnsi"/>
          <w:bCs/>
          <w:color w:val="000000" w:themeColor="text1"/>
          <w:sz w:val="22"/>
          <w:szCs w:val="22"/>
        </w:rPr>
        <w:t xml:space="preserve">M ligand in reaction buffers containing either K⁺ or Li⁺. The ligand-RNA complexes were separated by electrophoresis on a 12% native TBE acrylamide gel. For conditions including K⁺, 50 mM </w:t>
      </w:r>
      <w:proofErr w:type="spellStart"/>
      <w:r w:rsidRPr="003B3729">
        <w:rPr>
          <w:rFonts w:ascii="Calibri" w:hAnsi="Calibri" w:cstheme="minorHAnsi"/>
          <w:bCs/>
          <w:color w:val="000000" w:themeColor="text1"/>
          <w:sz w:val="22"/>
          <w:szCs w:val="22"/>
        </w:rPr>
        <w:t>KCl</w:t>
      </w:r>
      <w:proofErr w:type="spellEnd"/>
      <w:r w:rsidRPr="003B3729">
        <w:rPr>
          <w:rFonts w:ascii="Calibri" w:hAnsi="Calibri" w:cstheme="minorHAnsi"/>
          <w:bCs/>
          <w:color w:val="000000" w:themeColor="text1"/>
          <w:sz w:val="22"/>
          <w:szCs w:val="22"/>
        </w:rPr>
        <w:t xml:space="preserve"> was added to the gel running buffer. The sequences of the tested RNA fragments are shown in the right panel.</w:t>
      </w:r>
    </w:p>
    <w:p w14:paraId="5BDE5DE7" w14:textId="77777777" w:rsidR="00465FD0" w:rsidRPr="003B3729" w:rsidRDefault="00465FD0" w:rsidP="00465FD0">
      <w:pPr>
        <w:spacing w:afterLines="120" w:after="288" w:line="480" w:lineRule="auto"/>
        <w:jc w:val="both"/>
        <w:rPr>
          <w:rFonts w:ascii="Calibri" w:hAnsi="Calibri" w:cstheme="minorHAnsi"/>
          <w:bCs/>
          <w:color w:val="000000" w:themeColor="text1"/>
          <w:sz w:val="22"/>
          <w:szCs w:val="22"/>
        </w:rPr>
      </w:pPr>
      <w:r w:rsidRPr="003B3729">
        <w:rPr>
          <w:rFonts w:ascii="Calibri" w:hAnsi="Calibri" w:cstheme="minorHAnsi"/>
          <w:b/>
          <w:bCs/>
          <w:color w:val="000000" w:themeColor="text1"/>
          <w:sz w:val="22"/>
          <w:szCs w:val="22"/>
        </w:rPr>
        <w:t>Figure S4.  d-rG4-seq uncovers the RNA duplex structures.</w:t>
      </w:r>
    </w:p>
    <w:p w14:paraId="7CC555BC" w14:textId="77777777" w:rsidR="00465FD0" w:rsidRPr="003B3729" w:rsidRDefault="00465FD0" w:rsidP="00465FD0">
      <w:pPr>
        <w:spacing w:afterLines="120" w:after="288" w:line="480" w:lineRule="auto"/>
        <w:jc w:val="both"/>
        <w:rPr>
          <w:color w:val="000000" w:themeColor="text1"/>
          <w:sz w:val="22"/>
          <w:szCs w:val="22"/>
        </w:rPr>
      </w:pPr>
      <w:r w:rsidRPr="003B3729">
        <w:rPr>
          <w:color w:val="000000" w:themeColor="text1"/>
          <w:sz w:val="22"/>
          <w:szCs w:val="22"/>
        </w:rPr>
        <w:t>(A) Nucleotide frequency appears at the RT-stop sites. The total RT-stop frequency at the indicated nucleotides in the DMS-treated (+) and untreated (-) samples are shown.</w:t>
      </w:r>
    </w:p>
    <w:p w14:paraId="3976FFF0" w14:textId="77777777" w:rsidR="00465FD0" w:rsidRPr="003B3729" w:rsidRDefault="00465FD0" w:rsidP="00465FD0">
      <w:pPr>
        <w:spacing w:afterLines="120" w:after="288" w:line="480" w:lineRule="auto"/>
        <w:jc w:val="both"/>
        <w:rPr>
          <w:rFonts w:ascii="Calibri" w:hAnsi="Calibri" w:cstheme="minorHAnsi"/>
          <w:color w:val="000000" w:themeColor="text1"/>
          <w:sz w:val="22"/>
          <w:szCs w:val="22"/>
        </w:rPr>
      </w:pPr>
      <w:r w:rsidRPr="00171A53">
        <w:rPr>
          <w:rFonts w:cstheme="minorHAnsi"/>
          <w:color w:val="000000" w:themeColor="text1"/>
          <w:sz w:val="22"/>
          <w:szCs w:val="22"/>
        </w:rPr>
        <w:t xml:space="preserve">(B) </w:t>
      </w:r>
      <w:r w:rsidRPr="003B3729">
        <w:rPr>
          <w:rFonts w:ascii="Calibri" w:hAnsi="Calibri" w:cstheme="minorHAnsi"/>
          <w:color w:val="000000" w:themeColor="text1"/>
          <w:sz w:val="22"/>
          <w:szCs w:val="22"/>
        </w:rPr>
        <w:t>Scatterplot of Gini index values of 391 HCT8 host transcripts (grey) versus the OC43 genomic RNA (red dot). Two biological replicates are plotted against each other. r=0.93 (Pearson correlation).</w:t>
      </w:r>
    </w:p>
    <w:p w14:paraId="254570BB" w14:textId="77777777" w:rsidR="00465FD0" w:rsidRPr="003B3729" w:rsidRDefault="00465FD0" w:rsidP="00465FD0">
      <w:pPr>
        <w:spacing w:line="480" w:lineRule="auto"/>
        <w:jc w:val="both"/>
        <w:rPr>
          <w:rFonts w:ascii="Calibri" w:hAnsi="Calibri" w:cstheme="minorHAnsi"/>
          <w:b/>
          <w:bCs/>
          <w:color w:val="000000" w:themeColor="text1"/>
          <w:sz w:val="22"/>
          <w:szCs w:val="22"/>
        </w:rPr>
      </w:pPr>
    </w:p>
    <w:p w14:paraId="740287E7" w14:textId="77777777" w:rsidR="00465FD0" w:rsidRPr="003B3729" w:rsidRDefault="00465FD0" w:rsidP="00465FD0">
      <w:pPr>
        <w:spacing w:after="240" w:line="480" w:lineRule="auto"/>
        <w:jc w:val="both"/>
        <w:rPr>
          <w:rFonts w:ascii="Calibri" w:hAnsi="Calibri"/>
          <w:color w:val="000000" w:themeColor="text1"/>
        </w:rPr>
      </w:pPr>
      <w:r w:rsidRPr="003B3729">
        <w:rPr>
          <w:rFonts w:ascii="Calibri" w:hAnsi="Calibri" w:cstheme="minorHAnsi"/>
          <w:b/>
          <w:bCs/>
          <w:color w:val="000000" w:themeColor="text1"/>
          <w:sz w:val="22"/>
          <w:szCs w:val="22"/>
        </w:rPr>
        <w:t xml:space="preserve">Figure S5 Log2 transformed RPKM density plot, related to figure 4A. </w:t>
      </w:r>
    </w:p>
    <w:p w14:paraId="20249E2F" w14:textId="77777777" w:rsidR="00465FD0" w:rsidRPr="003B3729" w:rsidRDefault="00465FD0" w:rsidP="00465FD0">
      <w:pPr>
        <w:spacing w:afterLines="120" w:after="288" w:line="480" w:lineRule="auto"/>
        <w:jc w:val="both"/>
        <w:rPr>
          <w:rFonts w:ascii="Calibri" w:hAnsi="Calibri" w:cstheme="minorHAnsi"/>
          <w:b/>
          <w:bCs/>
          <w:color w:val="000000" w:themeColor="text1"/>
          <w:sz w:val="22"/>
          <w:szCs w:val="22"/>
        </w:rPr>
      </w:pPr>
      <w:r w:rsidRPr="003B3729">
        <w:rPr>
          <w:rFonts w:ascii="Calibri" w:hAnsi="Calibri" w:cstheme="minorHAnsi"/>
          <w:color w:val="000000" w:themeColor="text1"/>
          <w:sz w:val="22"/>
          <w:szCs w:val="22"/>
        </w:rPr>
        <w:t xml:space="preserve">Log2 transformed aligned read accumulation as shown in Figure 4A. OC43 genome annotation is indicated on top. </w:t>
      </w:r>
    </w:p>
    <w:p w14:paraId="37D52EE4" w14:textId="77777777" w:rsidR="00465FD0" w:rsidRPr="003B3729" w:rsidRDefault="00465FD0" w:rsidP="00465FD0">
      <w:pPr>
        <w:spacing w:afterLines="120" w:after="288" w:line="480" w:lineRule="auto"/>
        <w:jc w:val="both"/>
        <w:rPr>
          <w:rFonts w:ascii="Calibri" w:hAnsi="Calibri" w:cstheme="minorHAnsi"/>
          <w:color w:val="000000" w:themeColor="text1"/>
          <w:sz w:val="22"/>
          <w:szCs w:val="22"/>
        </w:rPr>
      </w:pPr>
      <w:r w:rsidRPr="003B3729">
        <w:rPr>
          <w:rFonts w:ascii="Calibri" w:hAnsi="Calibri" w:cstheme="minorHAnsi"/>
          <w:b/>
          <w:bCs/>
          <w:color w:val="000000" w:themeColor="text1"/>
          <w:sz w:val="22"/>
          <w:szCs w:val="22"/>
        </w:rPr>
        <w:t>Figure S6. Analysis</w:t>
      </w:r>
      <w:r w:rsidRPr="003B3729">
        <w:rPr>
          <w:rFonts w:ascii="Calibri" w:hAnsi="Calibri" w:cstheme="minorHAnsi"/>
          <w:b/>
          <w:color w:val="000000" w:themeColor="text1"/>
          <w:sz w:val="22"/>
          <w:szCs w:val="22"/>
        </w:rPr>
        <w:t xml:space="preserve"> of differentially expressed genes (DEG) in PDS-, phenDC3- and remdesivir-treated HCT8 cells, related to figure 6D. </w:t>
      </w:r>
    </w:p>
    <w:p w14:paraId="0874B50D" w14:textId="77777777" w:rsidR="00465FD0" w:rsidRPr="003B3729" w:rsidRDefault="00465FD0" w:rsidP="00465FD0">
      <w:pPr>
        <w:spacing w:afterLines="120" w:after="288" w:line="480" w:lineRule="auto"/>
        <w:jc w:val="both"/>
        <w:rPr>
          <w:rFonts w:ascii="Calibri" w:hAnsi="Calibri" w:cstheme="minorHAnsi"/>
          <w:color w:val="000000" w:themeColor="text1"/>
          <w:sz w:val="22"/>
          <w:szCs w:val="22"/>
        </w:rPr>
      </w:pPr>
      <w:r w:rsidRPr="003B3729">
        <w:rPr>
          <w:rFonts w:ascii="Calibri" w:hAnsi="Calibri" w:cstheme="minorHAnsi"/>
          <w:color w:val="000000" w:themeColor="text1"/>
          <w:sz w:val="22"/>
          <w:szCs w:val="22"/>
        </w:rPr>
        <w:t xml:space="preserve">Volcano plot showing DNA damage response gene (GO:0006974) expression changes. DEGs are marked with red color. </w:t>
      </w:r>
    </w:p>
    <w:p w14:paraId="00526D7F" w14:textId="77777777" w:rsidR="00465FD0" w:rsidRPr="003B3729" w:rsidRDefault="00465FD0" w:rsidP="00465FD0">
      <w:pPr>
        <w:spacing w:line="480" w:lineRule="auto"/>
        <w:jc w:val="both"/>
        <w:rPr>
          <w:color w:val="000000" w:themeColor="text1"/>
        </w:rPr>
      </w:pPr>
    </w:p>
    <w:p w14:paraId="753F5655" w14:textId="77777777" w:rsidR="00465FD0" w:rsidRDefault="00465FD0" w:rsidP="00465FD0">
      <w:pPr>
        <w:spacing w:after="120" w:line="480" w:lineRule="auto"/>
        <w:jc w:val="both"/>
        <w:rPr>
          <w:rFonts w:ascii="Calibri" w:eastAsia="Batang" w:hAnsi="Calibri" w:cs="Calibri"/>
          <w:b/>
          <w:bCs/>
          <w:color w:val="222222"/>
          <w:sz w:val="22"/>
          <w:szCs w:val="22"/>
        </w:rPr>
      </w:pPr>
    </w:p>
    <w:p w14:paraId="738BAB61" w14:textId="77777777" w:rsidR="001956FE" w:rsidRDefault="001956FE"/>
    <w:sectPr w:rsidR="001956FE" w:rsidSect="00E8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D0"/>
    <w:rsid w:val="001956FE"/>
    <w:rsid w:val="00465FD0"/>
    <w:rsid w:val="00560F1F"/>
    <w:rsid w:val="005D6E83"/>
    <w:rsid w:val="006E0DE2"/>
    <w:rsid w:val="00893428"/>
    <w:rsid w:val="0091069B"/>
    <w:rsid w:val="00C07D54"/>
    <w:rsid w:val="00E806F9"/>
    <w:rsid w:val="00E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1CCD0E"/>
  <w15:chartTrackingRefBased/>
  <w15:docId w15:val="{39A59701-5ADB-C34F-95BB-A89528D7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D0"/>
    <w:pPr>
      <w:spacing w:after="0" w:line="240" w:lineRule="auto"/>
    </w:pPr>
    <w:rPr>
      <w:rFonts w:eastAsiaTheme="minorEastAsia"/>
      <w:kern w:val="0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F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F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F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F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F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FD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FD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FD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FD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F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F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5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FD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5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FD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5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FD0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5F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F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Kulesa</dc:creator>
  <cp:keywords/>
  <dc:description/>
  <cp:lastModifiedBy>Tara Kulesa</cp:lastModifiedBy>
  <cp:revision>1</cp:revision>
  <dcterms:created xsi:type="dcterms:W3CDTF">2025-08-28T16:39:00Z</dcterms:created>
  <dcterms:modified xsi:type="dcterms:W3CDTF">2025-08-28T16:40:00Z</dcterms:modified>
</cp:coreProperties>
</file>