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4F01D" w14:textId="77777777" w:rsidR="00EF5FA3" w:rsidRPr="00D17628" w:rsidRDefault="00EF5FA3" w:rsidP="00EF5FA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</w:pPr>
      <w:r w:rsidRPr="00D17628">
        <w:rPr>
          <w:rStyle w:val="normaltextrun"/>
          <w:rFonts w:ascii="Arial" w:eastAsiaTheme="majorEastAsia" w:hAnsi="Arial" w:cs="Arial"/>
          <w:b/>
          <w:bCs/>
          <w:color w:val="000000"/>
          <w:sz w:val="28"/>
          <w:szCs w:val="28"/>
          <w:shd w:val="clear" w:color="auto" w:fill="FFFFFF"/>
          <w:lang w:val="en-US"/>
        </w:rPr>
        <w:t>An MST-based assay reveals new binding preferences of IFIT1 for canonically and non-canonically capped RNAs</w:t>
      </w:r>
      <w:r w:rsidRPr="00D17628"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D17628" w:rsidDel="00AB79FF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en-US"/>
        </w:rPr>
        <w:t xml:space="preserve"> </w:t>
      </w:r>
    </w:p>
    <w:p w14:paraId="5EDC8A9C" w14:textId="77777777" w:rsidR="00EF5FA3" w:rsidRPr="00D17628" w:rsidRDefault="00EF5FA3" w:rsidP="00EF5FA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</w:p>
    <w:p w14:paraId="4DBE6919" w14:textId="77777777" w:rsidR="00EF5FA3" w:rsidRPr="00D17628" w:rsidRDefault="00EF5FA3" w:rsidP="00EF5FA3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22"/>
          <w:lang w:val="pl-PL"/>
        </w:rPr>
      </w:pP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Tomasz Spiewla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vertAlign w:val="superscript"/>
          <w:lang w:val="pl-PL"/>
        </w:rPr>
        <w:t>1,2,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, Katarzyna Grab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vertAlign w:val="superscript"/>
          <w:lang w:val="pl-PL"/>
        </w:rPr>
        <w:t>1,2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, Anais Depaix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vertAlign w:val="superscript"/>
          <w:lang w:val="pl-PL"/>
        </w:rPr>
        <w:t>3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, Kamil Ziemkiewicz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vertAlign w:val="superscript"/>
          <w:lang w:val="pl-PL"/>
        </w:rPr>
        <w:t>1,2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, Marcin Warminski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vertAlign w:val="superscript"/>
          <w:lang w:val="pl-PL"/>
        </w:rPr>
        <w:t>1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,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vertAlign w:val="superscript"/>
          <w:lang w:val="pl-PL"/>
        </w:rPr>
        <w:t> 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Jacek Jemielity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vertAlign w:val="superscript"/>
          <w:lang w:val="pl-PL"/>
        </w:rPr>
        <w:t>3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, Joanna Kowalska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vertAlign w:val="superscript"/>
          <w:lang w:val="pl-PL"/>
        </w:rPr>
        <w:t>1,</w:t>
      </w:r>
      <w:r w:rsidRPr="00D17628">
        <w:rPr>
          <w:rStyle w:val="normaltextrun"/>
          <w:rFonts w:ascii="Arial" w:eastAsiaTheme="majorEastAsia" w:hAnsi="Arial" w:cs="Arial"/>
          <w:sz w:val="22"/>
          <w:szCs w:val="22"/>
          <w:lang w:val="pl-PL"/>
        </w:rPr>
        <w:t>*</w:t>
      </w:r>
      <w:r w:rsidRPr="00D17628">
        <w:rPr>
          <w:rStyle w:val="eop"/>
          <w:rFonts w:ascii="Arial" w:hAnsi="Arial" w:cs="Arial"/>
          <w:sz w:val="22"/>
          <w:szCs w:val="22"/>
          <w:lang w:val="pl-PL"/>
        </w:rPr>
        <w:t> </w:t>
      </w:r>
    </w:p>
    <w:p w14:paraId="1CD2C98A" w14:textId="77777777" w:rsidR="00EF5FA3" w:rsidRPr="00D17628" w:rsidRDefault="00EF5FA3" w:rsidP="00EF5FA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</w:p>
    <w:p w14:paraId="5D8A645C" w14:textId="77777777" w:rsidR="00EF5FA3" w:rsidRPr="00D17628" w:rsidRDefault="00EF5FA3" w:rsidP="00EF5FA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17628">
        <w:rPr>
          <w:rStyle w:val="normaltextrun"/>
          <w:rFonts w:ascii="Arial" w:eastAsiaTheme="majorEastAsia" w:hAnsi="Arial" w:cs="Arial"/>
          <w:sz w:val="16"/>
          <w:szCs w:val="16"/>
          <w:vertAlign w:val="superscript"/>
          <w:lang w:val="en-US"/>
        </w:rPr>
        <w:t>1</w:t>
      </w:r>
      <w:r w:rsidRPr="00D17628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Division of Biophysics, Institute of Experimental Physics, Faculty of Physics, University of Warsaw, </w:t>
      </w:r>
      <w:proofErr w:type="spellStart"/>
      <w:r w:rsidRPr="00D17628">
        <w:rPr>
          <w:rStyle w:val="spellingerror"/>
          <w:rFonts w:ascii="Arial" w:hAnsi="Arial" w:cs="Arial"/>
          <w:sz w:val="20"/>
          <w:szCs w:val="20"/>
          <w:lang w:val="en-US"/>
        </w:rPr>
        <w:t>Pasteura</w:t>
      </w:r>
      <w:proofErr w:type="spellEnd"/>
      <w:r w:rsidRPr="00D17628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5, 02-093 Warsaw</w:t>
      </w:r>
      <w:r w:rsidRPr="00D17628">
        <w:rPr>
          <w:rStyle w:val="eop"/>
          <w:rFonts w:ascii="Arial" w:hAnsi="Arial" w:cs="Arial"/>
          <w:sz w:val="20"/>
          <w:szCs w:val="20"/>
        </w:rPr>
        <w:t> </w:t>
      </w:r>
    </w:p>
    <w:p w14:paraId="2139043A" w14:textId="77777777" w:rsidR="00EF5FA3" w:rsidRPr="00D17628" w:rsidRDefault="00EF5FA3" w:rsidP="00EF5FA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17628">
        <w:rPr>
          <w:rStyle w:val="normaltextrun"/>
          <w:rFonts w:ascii="Arial" w:eastAsiaTheme="majorEastAsia" w:hAnsi="Arial" w:cs="Arial"/>
          <w:sz w:val="16"/>
          <w:szCs w:val="16"/>
          <w:vertAlign w:val="superscript"/>
          <w:lang w:val="en-US"/>
        </w:rPr>
        <w:t>2</w:t>
      </w:r>
      <w:r w:rsidRPr="00D17628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Doctoral School of Exact and Natural Sciences, University of Warsaw, </w:t>
      </w:r>
      <w:proofErr w:type="spellStart"/>
      <w:r w:rsidRPr="00D17628">
        <w:rPr>
          <w:rStyle w:val="spellingerror"/>
          <w:rFonts w:ascii="Arial" w:hAnsi="Arial" w:cs="Arial"/>
          <w:sz w:val="20"/>
          <w:szCs w:val="20"/>
          <w:lang w:val="en-US"/>
        </w:rPr>
        <w:t>Zwirki</w:t>
      </w:r>
      <w:proofErr w:type="spellEnd"/>
      <w:r w:rsidRPr="00D17628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</w:t>
      </w:r>
      <w:proofErr w:type="spellStart"/>
      <w:r w:rsidRPr="00D17628">
        <w:rPr>
          <w:rStyle w:val="spellingerror"/>
          <w:rFonts w:ascii="Arial" w:hAnsi="Arial" w:cs="Arial"/>
          <w:sz w:val="20"/>
          <w:szCs w:val="20"/>
          <w:lang w:val="en-US"/>
        </w:rPr>
        <w:t>i</w:t>
      </w:r>
      <w:proofErr w:type="spellEnd"/>
      <w:r w:rsidRPr="00D17628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</w:t>
      </w:r>
      <w:proofErr w:type="spellStart"/>
      <w:r w:rsidRPr="00D17628">
        <w:rPr>
          <w:rStyle w:val="spellingerror"/>
          <w:rFonts w:ascii="Arial" w:hAnsi="Arial" w:cs="Arial"/>
          <w:sz w:val="20"/>
          <w:szCs w:val="20"/>
          <w:lang w:val="en-US"/>
        </w:rPr>
        <w:t>Wigury</w:t>
      </w:r>
      <w:proofErr w:type="spellEnd"/>
      <w:r w:rsidRPr="00D17628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93, 02-089 Warsaw</w:t>
      </w:r>
      <w:r w:rsidRPr="00D17628">
        <w:rPr>
          <w:rStyle w:val="eop"/>
          <w:rFonts w:ascii="Arial" w:hAnsi="Arial" w:cs="Arial"/>
          <w:sz w:val="20"/>
          <w:szCs w:val="20"/>
        </w:rPr>
        <w:t> </w:t>
      </w:r>
    </w:p>
    <w:p w14:paraId="2363E0A4" w14:textId="77777777" w:rsidR="00EF5FA3" w:rsidRPr="00D17628" w:rsidRDefault="00EF5FA3" w:rsidP="00EF5FA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D17628">
        <w:rPr>
          <w:rStyle w:val="normaltextrun"/>
          <w:rFonts w:ascii="Arial" w:eastAsiaTheme="majorEastAsia" w:hAnsi="Arial" w:cs="Arial"/>
          <w:sz w:val="16"/>
          <w:szCs w:val="16"/>
          <w:vertAlign w:val="superscript"/>
          <w:lang w:val="en-US"/>
        </w:rPr>
        <w:t>3</w:t>
      </w:r>
      <w:r w:rsidRPr="00D17628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Centre of New Technologies, University of Warsaw, </w:t>
      </w:r>
      <w:proofErr w:type="spellStart"/>
      <w:r w:rsidRPr="00D17628">
        <w:rPr>
          <w:rStyle w:val="spellingerror"/>
          <w:rFonts w:ascii="Arial" w:hAnsi="Arial" w:cs="Arial"/>
          <w:sz w:val="20"/>
          <w:szCs w:val="20"/>
          <w:lang w:val="en-US"/>
        </w:rPr>
        <w:t>Banacha</w:t>
      </w:r>
      <w:proofErr w:type="spellEnd"/>
      <w:r w:rsidRPr="00D17628">
        <w:rPr>
          <w:rStyle w:val="normaltextrun"/>
          <w:rFonts w:ascii="Arial" w:eastAsiaTheme="majorEastAsia" w:hAnsi="Arial" w:cs="Arial"/>
          <w:sz w:val="20"/>
          <w:szCs w:val="20"/>
          <w:lang w:val="en-US"/>
        </w:rPr>
        <w:t> 2c, 02-097 Warsaw</w:t>
      </w:r>
      <w:r w:rsidRPr="00D17628">
        <w:rPr>
          <w:rStyle w:val="eop"/>
          <w:rFonts w:ascii="Arial" w:hAnsi="Arial" w:cs="Arial"/>
          <w:sz w:val="20"/>
          <w:szCs w:val="20"/>
        </w:rPr>
        <w:t> </w:t>
      </w:r>
    </w:p>
    <w:p w14:paraId="49ADB690" w14:textId="2DFF1873" w:rsidR="00EF5FA3" w:rsidRPr="00D17628" w:rsidRDefault="00EF5FA3" w:rsidP="00EF5FA3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D17628">
        <w:rPr>
          <w:rFonts w:ascii="Arial" w:hAnsi="Arial" w:cs="Arial"/>
          <w:b/>
          <w:bCs/>
          <w:lang w:val="en-US"/>
        </w:rPr>
        <w:t>*</w:t>
      </w:r>
      <w:r w:rsidRPr="00D17628">
        <w:rPr>
          <w:rFonts w:ascii="Arial" w:hAnsi="Arial" w:cs="Arial"/>
          <w:sz w:val="20"/>
          <w:szCs w:val="20"/>
          <w:lang w:val="en-US"/>
        </w:rPr>
        <w:t xml:space="preserve">Corresponding author: </w:t>
      </w:r>
      <w:r w:rsidR="00FF251F" w:rsidRPr="00D17628">
        <w:rPr>
          <w:rFonts w:ascii="Arial" w:hAnsi="Arial" w:cs="Arial"/>
          <w:lang w:val="en-US"/>
        </w:rPr>
        <w:t>jkowalska@fuw.edu.pl</w:t>
      </w:r>
    </w:p>
    <w:p w14:paraId="71443AB4" w14:textId="77777777" w:rsidR="00EF5FA3" w:rsidRPr="000921D5" w:rsidRDefault="00EF5FA3" w:rsidP="00EF5FA3">
      <w:pPr>
        <w:spacing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E266143" w14:textId="790CC2D7" w:rsidR="00EF5FA3" w:rsidRPr="000921D5" w:rsidRDefault="00EF5FA3" w:rsidP="000921D5">
      <w:pPr>
        <w:spacing w:line="360" w:lineRule="auto"/>
        <w:jc w:val="center"/>
        <w:rPr>
          <w:rFonts w:ascii="Arial" w:hAnsi="Arial" w:cs="Arial"/>
          <w:b/>
          <w:bCs/>
          <w:lang w:val="en-US"/>
        </w:rPr>
      </w:pPr>
      <w:r w:rsidRPr="000921D5">
        <w:rPr>
          <w:rFonts w:ascii="Arial" w:hAnsi="Arial" w:cs="Arial"/>
          <w:b/>
          <w:bCs/>
          <w:lang w:val="en-US"/>
        </w:rPr>
        <w:t>SUPPORTING INFORMATION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258479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EFF208" w14:textId="305ECD80" w:rsidR="00EF5FA3" w:rsidRPr="00780509" w:rsidRDefault="00EF5FA3" w:rsidP="00EF5FA3">
          <w:pPr>
            <w:pStyle w:val="Nagwekspisutreci"/>
            <w:spacing w:after="120"/>
            <w:rPr>
              <w:rFonts w:ascii="Arial" w:hAnsi="Arial" w:cs="Arial"/>
              <w:b/>
              <w:bCs/>
              <w:color w:val="auto"/>
              <w:sz w:val="22"/>
              <w:szCs w:val="22"/>
              <w:lang w:val="en-GB"/>
            </w:rPr>
          </w:pPr>
          <w:r w:rsidRPr="00780509">
            <w:rPr>
              <w:rFonts w:ascii="Arial" w:hAnsi="Arial" w:cs="Arial"/>
              <w:b/>
              <w:bCs/>
              <w:color w:val="auto"/>
              <w:sz w:val="22"/>
              <w:szCs w:val="22"/>
              <w:lang w:val="en-GB"/>
            </w:rPr>
            <w:t>List of content</w:t>
          </w:r>
        </w:p>
        <w:p w14:paraId="0D4B3FDD" w14:textId="2F041C79" w:rsidR="00E005C2" w:rsidRDefault="00EF5FA3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780509">
            <w:rPr>
              <w:rFonts w:ascii="Arial" w:hAnsi="Arial" w:cs="Arial"/>
            </w:rPr>
            <w:fldChar w:fldCharType="begin"/>
          </w:r>
          <w:r w:rsidRPr="00780509">
            <w:rPr>
              <w:rFonts w:ascii="Arial" w:hAnsi="Arial" w:cs="Arial"/>
            </w:rPr>
            <w:instrText xml:space="preserve"> TOC \o "1-3" \h \z \u </w:instrText>
          </w:r>
          <w:r w:rsidRPr="00780509">
            <w:rPr>
              <w:rFonts w:ascii="Arial" w:hAnsi="Arial" w:cs="Arial"/>
            </w:rPr>
            <w:fldChar w:fldCharType="separate"/>
          </w:r>
          <w:hyperlink w:anchor="_Toc173250813" w:history="1">
            <w:r w:rsidR="00E005C2" w:rsidRPr="00C20921">
              <w:rPr>
                <w:rStyle w:val="Hipercze"/>
                <w:rFonts w:ascii="Arial" w:hAnsi="Arial" w:cs="Arial"/>
                <w:b/>
                <w:bCs/>
                <w:noProof/>
                <w:lang w:val="en-US"/>
              </w:rPr>
              <w:t>Figure S1. IFIT1 expression and purification</w:t>
            </w:r>
            <w:r w:rsidR="00E005C2">
              <w:rPr>
                <w:noProof/>
                <w:webHidden/>
              </w:rPr>
              <w:tab/>
            </w:r>
            <w:r w:rsidR="00E005C2">
              <w:rPr>
                <w:noProof/>
                <w:webHidden/>
              </w:rPr>
              <w:fldChar w:fldCharType="begin"/>
            </w:r>
            <w:r w:rsidR="00E005C2">
              <w:rPr>
                <w:noProof/>
                <w:webHidden/>
              </w:rPr>
              <w:instrText xml:space="preserve"> PAGEREF _Toc173250813 \h </w:instrText>
            </w:r>
            <w:r w:rsidR="00E005C2">
              <w:rPr>
                <w:noProof/>
                <w:webHidden/>
              </w:rPr>
            </w:r>
            <w:r w:rsidR="00E005C2">
              <w:rPr>
                <w:noProof/>
                <w:webHidden/>
              </w:rPr>
              <w:fldChar w:fldCharType="separate"/>
            </w:r>
            <w:r w:rsidR="001B181B">
              <w:rPr>
                <w:noProof/>
                <w:webHidden/>
              </w:rPr>
              <w:t>2</w:t>
            </w:r>
            <w:r w:rsidR="00E005C2">
              <w:rPr>
                <w:noProof/>
                <w:webHidden/>
              </w:rPr>
              <w:fldChar w:fldCharType="end"/>
            </w:r>
          </w:hyperlink>
        </w:p>
        <w:p w14:paraId="1ADDA840" w14:textId="49DA81CE" w:rsidR="00E005C2" w:rsidRDefault="00E005C2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73250814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_Toc173250814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81B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C641C" w14:textId="0258F437" w:rsidR="00E005C2" w:rsidRDefault="00E005C2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73250815" w:history="1">
            <w:r w:rsidRPr="00C20921">
              <w:rPr>
                <w:rStyle w:val="Hipercze"/>
                <w:rFonts w:ascii="Arial" w:hAnsi="Arial" w:cs="Arial"/>
                <w:b/>
                <w:bCs/>
                <w:noProof/>
                <w:lang w:val="en-US"/>
              </w:rPr>
              <w:t>Figure S2. MST curve from the measurements of IFIT1 and RED-tris-NTA dye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_Toc173250815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81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95D3D" w14:textId="1E7E2F8B" w:rsidR="00E005C2" w:rsidRDefault="00E005C2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73250816" w:history="1">
            <w:r w:rsidRPr="00C20921">
              <w:rPr>
                <w:rStyle w:val="Hipercze"/>
                <w:rFonts w:ascii="Arial" w:hAnsi="Arial" w:cs="Arial"/>
                <w:b/>
                <w:bCs/>
                <w:noProof/>
                <w:lang w:val="en-US"/>
              </w:rPr>
              <w:t>Figure S3. Differential Scanning Calorimetry for IFIT1- cap analogs and IFIT1- capped RNA</w:t>
            </w:r>
            <w:r w:rsidRPr="00C20921">
              <w:rPr>
                <w:rStyle w:val="Hipercze"/>
                <w:rFonts w:ascii="Arial" w:hAnsi="Arial" w:cs="Arial"/>
                <w:b/>
                <w:bCs/>
                <w:noProof/>
                <w:vertAlign w:val="subscript"/>
                <w:lang w:val="en-US"/>
              </w:rPr>
              <w:t>70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_Toc173250816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81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AC98D" w14:textId="1ABA396F" w:rsidR="00E005C2" w:rsidRDefault="00E005C2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73250817" w:history="1">
            <w:r w:rsidRPr="00C20921">
              <w:rPr>
                <w:rStyle w:val="Hipercze"/>
                <w:rFonts w:ascii="Arial" w:hAnsi="Arial" w:cs="Arial"/>
                <w:b/>
                <w:bCs/>
                <w:noProof/>
                <w:lang w:val="en-US"/>
              </w:rPr>
              <w:t>Figure S4. Differential Scanning Calorimetry Analysis of IFIT1 with and without N-terminal Histag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_Toc173250817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81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FDC28" w14:textId="50FEF226" w:rsidR="00E005C2" w:rsidRDefault="00E005C2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73250819" w:history="1">
            <w:r w:rsidRPr="00C20921">
              <w:rPr>
                <w:rStyle w:val="Hipercze"/>
                <w:rFonts w:ascii="Arial" w:hAnsi="Arial" w:cs="Arial"/>
                <w:b/>
                <w:bCs/>
                <w:noProof/>
                <w:lang w:val="en-US"/>
              </w:rPr>
              <w:t>Figure S5. MST traces and curves from the measurements of RNA70 ligands and free cap analogs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_Toc173250819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B181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8BE17" w14:textId="5E2FF5A5" w:rsidR="002075F0" w:rsidRPr="00780509" w:rsidRDefault="00EF5FA3" w:rsidP="006B1E6F">
          <w:pPr>
            <w:pStyle w:val="Spistreci2"/>
            <w:rPr>
              <w:rFonts w:ascii="Arial" w:eastAsiaTheme="minorEastAsia" w:hAnsi="Arial" w:cs="Arial"/>
              <w:noProof/>
              <w:kern w:val="2"/>
              <w:lang w:val="en-GB" w:eastAsia="pl-PL"/>
              <w14:ligatures w14:val="standardContextual"/>
            </w:rPr>
          </w:pPr>
          <w:r w:rsidRPr="00780509">
            <w:rPr>
              <w:rFonts w:ascii="Arial" w:hAnsi="Arial" w:cs="Arial"/>
            </w:rPr>
            <w:fldChar w:fldCharType="end"/>
          </w:r>
        </w:p>
        <w:p w14:paraId="27316B86" w14:textId="43A1A1C1" w:rsidR="002075F0" w:rsidRPr="00780509" w:rsidRDefault="002075F0">
          <w:pPr>
            <w:pStyle w:val="Spistreci1"/>
            <w:rPr>
              <w:rFonts w:ascii="Arial" w:hAnsi="Arial" w:cs="Arial"/>
              <w:noProof/>
              <w:lang w:val="en-GB"/>
            </w:rPr>
          </w:pPr>
          <w:r w:rsidRPr="006051AA">
            <w:rPr>
              <w:rFonts w:ascii="Arial" w:hAnsi="Arial" w:cs="Arial"/>
              <w:b/>
              <w:bCs/>
              <w:lang w:val="en-US"/>
            </w:rPr>
            <w:t>Table S1. Template sequences for measurements optimization</w:t>
          </w:r>
          <w:r w:rsidRPr="00780509">
            <w:rPr>
              <w:rFonts w:ascii="Arial" w:hAnsi="Arial" w:cs="Arial"/>
              <w:noProof/>
              <w:webHidden/>
              <w:lang w:val="en-GB"/>
            </w:rPr>
            <w:tab/>
            <w:t>10</w:t>
          </w:r>
        </w:p>
        <w:p w14:paraId="4025055B" w14:textId="0067603E" w:rsidR="00EF5FA3" w:rsidRDefault="00000000" w:rsidP="00780509">
          <w:pPr>
            <w:spacing w:line="276" w:lineRule="auto"/>
          </w:pPr>
        </w:p>
      </w:sdtContent>
    </w:sdt>
    <w:p w14:paraId="632E8860" w14:textId="77777777" w:rsidR="00EF5FA3" w:rsidRPr="00EF5FA3" w:rsidRDefault="00EF5FA3" w:rsidP="00EF5FA3">
      <w:pPr>
        <w:spacing w:line="360" w:lineRule="auto"/>
        <w:rPr>
          <w:rFonts w:ascii="Arial" w:hAnsi="Arial" w:cs="Arial"/>
          <w:b/>
          <w:bCs/>
          <w:lang w:val="en-US"/>
        </w:rPr>
      </w:pPr>
    </w:p>
    <w:p w14:paraId="7E41B9B9" w14:textId="77777777" w:rsidR="00EF5FA3" w:rsidRDefault="00EF5FA3" w:rsidP="00A22626">
      <w:pP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</w:p>
    <w:p w14:paraId="34926C9D" w14:textId="77777777" w:rsidR="00EF5FA3" w:rsidRDefault="00EF5FA3" w:rsidP="00A22626">
      <w:pP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</w:p>
    <w:p w14:paraId="5163BA0A" w14:textId="77777777" w:rsidR="00EF5FA3" w:rsidRDefault="00EF5FA3" w:rsidP="00A22626">
      <w:pP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</w:p>
    <w:p w14:paraId="30112137" w14:textId="77777777" w:rsidR="00EF5FA3" w:rsidRDefault="00EF5FA3">
      <w:pP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br w:type="page"/>
      </w:r>
    </w:p>
    <w:p w14:paraId="624DBAA5" w14:textId="77777777" w:rsidR="00A22626" w:rsidRPr="00A128FB" w:rsidRDefault="00A22626" w:rsidP="00A22626">
      <w:pPr>
        <w:jc w:val="both"/>
        <w:rPr>
          <w:rFonts w:ascii="Arial" w:hAnsi="Arial" w:cs="Arial"/>
          <w:b/>
          <w:color w:val="000000" w:themeColor="text1"/>
          <w:sz w:val="18"/>
          <w:szCs w:val="16"/>
          <w:lang w:val="en-US"/>
        </w:rPr>
      </w:pPr>
    </w:p>
    <w:p w14:paraId="5AFE307E" w14:textId="77777777" w:rsidR="00A22626" w:rsidRPr="00A128FB" w:rsidRDefault="00A22626" w:rsidP="00A22626">
      <w:pPr>
        <w:jc w:val="both"/>
        <w:rPr>
          <w:rFonts w:ascii="Arial" w:hAnsi="Arial" w:cs="Arial"/>
          <w:b/>
          <w:color w:val="000000" w:themeColor="text1"/>
          <w:sz w:val="18"/>
          <w:szCs w:val="16"/>
          <w:lang w:val="en-US"/>
        </w:rPr>
      </w:pPr>
    </w:p>
    <w:p w14:paraId="56271AE1" w14:textId="7DE44468" w:rsidR="00A22626" w:rsidRPr="00904641" w:rsidRDefault="00A22626" w:rsidP="00A22626">
      <w:pPr>
        <w:pStyle w:val="Nagwek2"/>
        <w:spacing w:after="120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bookmarkStart w:id="0" w:name="_Toc69045413"/>
      <w:bookmarkStart w:id="1" w:name="_Toc173250813"/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Figure S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1</w:t>
      </w: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. IFIT1 expression and purificatio</w:t>
      </w:r>
      <w:bookmarkEnd w:id="0"/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n</w:t>
      </w:r>
      <w:bookmarkEnd w:id="1"/>
    </w:p>
    <w:p w14:paraId="353F01EE" w14:textId="77777777" w:rsidR="00A22626" w:rsidRPr="009C07C8" w:rsidRDefault="00A22626" w:rsidP="00A22626">
      <w:pPr>
        <w:jc w:val="both"/>
        <w:rPr>
          <w:rFonts w:ascii="Arial" w:hAnsi="Arial" w:cs="Arial"/>
          <w:sz w:val="18"/>
          <w:szCs w:val="18"/>
          <w:lang w:val="en-GB"/>
        </w:rPr>
      </w:pPr>
      <w:r w:rsidRPr="009C07C8">
        <w:rPr>
          <w:rFonts w:ascii="Arial" w:hAnsi="Arial" w:cs="Arial"/>
          <w:b/>
          <w:sz w:val="18"/>
          <w:szCs w:val="18"/>
          <w:lang w:val="en-GB"/>
        </w:rPr>
        <w:t>A)</w:t>
      </w:r>
      <w:r w:rsidRPr="009C07C8">
        <w:rPr>
          <w:rFonts w:ascii="Arial" w:hAnsi="Arial" w:cs="Arial"/>
          <w:sz w:val="18"/>
          <w:szCs w:val="18"/>
          <w:lang w:val="en-GB"/>
        </w:rPr>
        <w:t xml:space="preserve"> Polyacrylamide gel (12%) fractions of final hIFIT1 protein preparates; </w:t>
      </w:r>
      <w:r w:rsidRPr="009C07C8">
        <w:rPr>
          <w:rFonts w:ascii="Arial" w:hAnsi="Arial" w:cs="Arial"/>
          <w:b/>
          <w:sz w:val="18"/>
          <w:szCs w:val="18"/>
          <w:lang w:val="en-GB"/>
        </w:rPr>
        <w:t>B)</w:t>
      </w:r>
      <w:r w:rsidRPr="009C07C8">
        <w:rPr>
          <w:rFonts w:ascii="Arial" w:hAnsi="Arial" w:cs="Arial"/>
          <w:sz w:val="18"/>
          <w:szCs w:val="18"/>
          <w:lang w:val="en-GB"/>
        </w:rPr>
        <w:t xml:space="preserve"> nucleotide sequence of Interferon-induced protein with tetratricopeptide repeats 1 and comparison of amino acid sequence (NCBI) to the IFIT1 that we used in our studies. Peptides identified with MS were marked in red. The degree of overlap is 0.81.</w:t>
      </w:r>
    </w:p>
    <w:p w14:paraId="0C7E843A" w14:textId="77777777" w:rsidR="00F36822" w:rsidRDefault="00F36822" w:rsidP="009144EA">
      <w:pPr>
        <w:pStyle w:val="Nagwek1"/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bookmarkStart w:id="2" w:name="_Toc173250815"/>
    </w:p>
    <w:p w14:paraId="76D7559F" w14:textId="77777777" w:rsidR="00711C08" w:rsidRDefault="009144EA" w:rsidP="00711C08">
      <w:pPr>
        <w:pStyle w:val="Nagwek1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Figure S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2</w:t>
      </w: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. </w:t>
      </w:r>
      <w:r w:rsidR="00142A53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Control experiments for the MST assay A) </w:t>
      </w: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MST curve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from the measurements of IFIT1 and </w:t>
      </w:r>
      <w:r w:rsidRPr="009144EA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RED-</w:t>
      </w:r>
      <w:r w:rsidRPr="006051AA">
        <w:rPr>
          <w:rFonts w:ascii="Arial" w:hAnsi="Arial" w:cs="Arial"/>
          <w:b/>
          <w:bCs/>
          <w:color w:val="auto"/>
          <w:sz w:val="18"/>
          <w:szCs w:val="18"/>
          <w:lang w:val="en-US"/>
        </w:rPr>
        <w:t>tris-NTA dye</w:t>
      </w:r>
      <w:bookmarkEnd w:id="2"/>
      <w:r w:rsidR="00F36822" w:rsidRPr="006051AA">
        <w:rPr>
          <w:rFonts w:ascii="Arial" w:hAnsi="Arial" w:cs="Arial"/>
          <w:b/>
          <w:bCs/>
          <w:color w:val="auto"/>
          <w:sz w:val="18"/>
          <w:szCs w:val="18"/>
          <w:lang w:val="en-US"/>
        </w:rPr>
        <w:t xml:space="preserve"> B) MST traces and curve from the measurements of cap-0 RNA (V5x3) and RED-tris-NTA dye.</w:t>
      </w:r>
      <w:r w:rsidR="006051AA" w:rsidRPr="006051AA">
        <w:rPr>
          <w:rFonts w:ascii="Arial" w:hAnsi="Arial" w:cs="Arial"/>
          <w:b/>
          <w:bCs/>
          <w:color w:val="auto"/>
          <w:sz w:val="18"/>
          <w:szCs w:val="18"/>
          <w:lang w:val="en-US"/>
        </w:rPr>
        <w:t xml:space="preserve"> </w:t>
      </w:r>
      <w:r w:rsidR="00F36822" w:rsidRPr="006051AA">
        <w:rPr>
          <w:rFonts w:ascii="Arial" w:hAnsi="Arial" w:cs="Arial"/>
          <w:color w:val="auto"/>
          <w:sz w:val="18"/>
          <w:szCs w:val="18"/>
          <w:lang w:val="en-GB"/>
        </w:rPr>
        <w:t>A)</w:t>
      </w:r>
      <w:r w:rsidR="00142A53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 </w:t>
      </w:r>
      <w:r w:rsidR="00E005C2" w:rsidRPr="006051AA">
        <w:rPr>
          <w:rFonts w:ascii="Arial" w:hAnsi="Arial" w:cs="Arial"/>
          <w:color w:val="auto"/>
          <w:sz w:val="18"/>
          <w:szCs w:val="18"/>
          <w:lang w:val="en-GB"/>
        </w:rPr>
        <w:t>A dye affinity assay (</w:t>
      </w:r>
      <w:proofErr w:type="spellStart"/>
      <w:r w:rsidR="00E005C2" w:rsidRPr="006051AA">
        <w:rPr>
          <w:rFonts w:ascii="Arial" w:hAnsi="Arial" w:cs="Arial"/>
          <w:color w:val="auto"/>
          <w:sz w:val="18"/>
          <w:szCs w:val="18"/>
          <w:lang w:val="en-GB"/>
        </w:rPr>
        <w:t>NanoTemepr</w:t>
      </w:r>
      <w:proofErr w:type="spellEnd"/>
      <w:r w:rsidR="00E005C2" w:rsidRPr="006051AA">
        <w:rPr>
          <w:rFonts w:ascii="Arial" w:hAnsi="Arial" w:cs="Arial"/>
          <w:color w:val="auto"/>
          <w:sz w:val="18"/>
          <w:szCs w:val="18"/>
          <w:lang w:val="en-GB"/>
        </w:rPr>
        <w:t>) was performed using RED-tris-NTA dye to assess its binding affinity to IFIT1 protein. The dye (10 nM) was titrated with IFIT1 protein following the manufacturer’s recommendations (</w:t>
      </w:r>
      <w:proofErr w:type="spellStart"/>
      <w:r w:rsidR="00E005C2" w:rsidRPr="006051AA">
        <w:rPr>
          <w:rFonts w:ascii="Arial" w:hAnsi="Arial" w:cs="Arial"/>
          <w:color w:val="auto"/>
          <w:sz w:val="18"/>
          <w:szCs w:val="18"/>
          <w:lang w:val="en-GB"/>
        </w:rPr>
        <w:t>NanoTemper</w:t>
      </w:r>
      <w:proofErr w:type="spellEnd"/>
      <w:r w:rsidR="00E005C2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). The obtained dissociation constant </w:t>
      </w:r>
      <w:r w:rsidR="00142A53" w:rsidRPr="006051AA">
        <w:rPr>
          <w:rFonts w:ascii="Arial" w:hAnsi="Arial" w:cs="Arial"/>
          <w:color w:val="auto"/>
          <w:sz w:val="18"/>
          <w:szCs w:val="18"/>
          <w:lang w:val="en-GB"/>
        </w:rPr>
        <w:t>(</w:t>
      </w:r>
      <w:r w:rsidR="00142A53" w:rsidRPr="006051AA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K</w:t>
      </w:r>
      <w:r w:rsidR="00142A53" w:rsidRPr="006051AA">
        <w:rPr>
          <w:rFonts w:ascii="Arial" w:hAnsi="Arial" w:cs="Arial"/>
          <w:color w:val="auto"/>
          <w:sz w:val="18"/>
          <w:szCs w:val="18"/>
          <w:vertAlign w:val="subscript"/>
          <w:lang w:val="en-GB"/>
        </w:rPr>
        <w:t>D</w:t>
      </w:r>
      <w:r w:rsidR="00142A53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) </w:t>
      </w:r>
      <w:r w:rsidR="00E005C2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for the protein-dye interaction was  13 nM (C.I. 10 - 17 nM), indicating </w:t>
      </w:r>
      <w:r w:rsidR="00142A53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sufficiently </w:t>
      </w:r>
      <w:r w:rsidR="00E005C2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 high affinity of the N-terminal Histag-IFIT1 protein for the fluorescent dye </w:t>
      </w:r>
      <w:r w:rsidR="00142A53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; B) titration of free RED-tris-NTA dye (10 nM) with RNA ligand. </w:t>
      </w:r>
      <w:r w:rsidR="00F36822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B) A dye-RNA affinity </w:t>
      </w:r>
      <w:r w:rsidR="00731374" w:rsidRPr="006051AA">
        <w:rPr>
          <w:rFonts w:ascii="Arial" w:hAnsi="Arial" w:cs="Arial"/>
          <w:color w:val="auto"/>
          <w:sz w:val="18"/>
          <w:szCs w:val="18"/>
          <w:lang w:val="en-GB"/>
        </w:rPr>
        <w:t>assay was</w:t>
      </w:r>
      <w:r w:rsidR="00F36822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 performed </w:t>
      </w:r>
      <w:r w:rsidR="00573837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to exclude nonspecific interactions of a RED-tris-NTA dye with RNA molecules. The dye (10 nM) was titrated with cap0-RNA V5x3 (240 nt) </w:t>
      </w:r>
      <w:r w:rsidR="00731374" w:rsidRPr="006051AA">
        <w:rPr>
          <w:rFonts w:ascii="Arial" w:hAnsi="Arial" w:cs="Arial"/>
          <w:color w:val="auto"/>
          <w:sz w:val="18"/>
          <w:szCs w:val="18"/>
          <w:lang w:val="en-GB"/>
        </w:rPr>
        <w:t>at</w:t>
      </w:r>
      <w:r w:rsidR="00573837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 the highest concentration </w:t>
      </w:r>
      <w:r w:rsidR="00731374" w:rsidRPr="006051AA">
        <w:rPr>
          <w:rFonts w:ascii="Arial" w:hAnsi="Arial" w:cs="Arial"/>
          <w:color w:val="auto"/>
          <w:sz w:val="18"/>
          <w:szCs w:val="18"/>
          <w:lang w:val="en-GB"/>
        </w:rPr>
        <w:t>of</w:t>
      </w:r>
      <w:r w:rsidR="00573837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 20 µM. As a result, no changes in the thermophoresis profile were observed at any concentration, and neither a curve nor a </w:t>
      </w:r>
      <w:r w:rsidR="00573837" w:rsidRPr="006051AA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K</w:t>
      </w:r>
      <w:r w:rsidR="00573837" w:rsidRPr="006051AA">
        <w:rPr>
          <w:rFonts w:ascii="Arial" w:hAnsi="Arial" w:cs="Arial"/>
          <w:color w:val="auto"/>
          <w:sz w:val="18"/>
          <w:szCs w:val="18"/>
          <w:vertAlign w:val="subscript"/>
          <w:lang w:val="en-GB"/>
        </w:rPr>
        <w:t>D</w:t>
      </w:r>
      <w:r w:rsidR="00573837" w:rsidRPr="006051AA">
        <w:rPr>
          <w:rFonts w:ascii="Arial" w:hAnsi="Arial" w:cs="Arial"/>
          <w:color w:val="auto"/>
          <w:sz w:val="18"/>
          <w:szCs w:val="18"/>
          <w:lang w:val="en-GB"/>
        </w:rPr>
        <w:t xml:space="preserve"> value was obtained. This indicates the absence of direct interactions between the dye and the RNA molecules.</w:t>
      </w:r>
    </w:p>
    <w:p w14:paraId="5B7E2394" w14:textId="6C93A2BE" w:rsidR="00711C08" w:rsidRPr="00711C08" w:rsidRDefault="00711C08" w:rsidP="00711C08">
      <w:pPr>
        <w:pStyle w:val="Nagwek1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r w:rsidRPr="00711C08">
        <w:rPr>
          <w:lang w:val="en-GB"/>
        </w:rPr>
        <w:br/>
      </w:r>
      <w:r w:rsidRPr="00711C08">
        <w:rPr>
          <w:rFonts w:ascii="Arial" w:hAnsi="Arial" w:cs="Arial"/>
          <w:b/>
          <w:bCs/>
          <w:color w:val="auto"/>
          <w:sz w:val="18"/>
          <w:szCs w:val="18"/>
          <w:lang w:val="en-GB"/>
        </w:rPr>
        <w:t xml:space="preserve">FigureS3.Differential Scanning </w:t>
      </w:r>
      <w:proofErr w:type="spellStart"/>
      <w:r w:rsidRPr="00711C08">
        <w:rPr>
          <w:rFonts w:ascii="Arial" w:hAnsi="Arial" w:cs="Arial"/>
          <w:b/>
          <w:bCs/>
          <w:color w:val="auto"/>
          <w:sz w:val="18"/>
          <w:szCs w:val="18"/>
          <w:lang w:val="en-GB"/>
        </w:rPr>
        <w:t>Calorimetryfor</w:t>
      </w:r>
      <w:proofErr w:type="spellEnd"/>
      <w:r w:rsidRPr="00711C08">
        <w:rPr>
          <w:rFonts w:ascii="Arial" w:hAnsi="Arial" w:cs="Arial"/>
          <w:b/>
          <w:bCs/>
          <w:color w:val="auto"/>
          <w:sz w:val="18"/>
          <w:szCs w:val="18"/>
          <w:lang w:val="en-GB"/>
        </w:rPr>
        <w:t xml:space="preserve"> IFIT1-cap analog and IFIT1-cappedRNA</w:t>
      </w:r>
      <w:r w:rsidRPr="00711C08">
        <w:rPr>
          <w:rFonts w:ascii="Arial" w:hAnsi="Arial" w:cs="Arial"/>
          <w:b/>
          <w:bCs/>
          <w:color w:val="auto"/>
          <w:sz w:val="18"/>
          <w:szCs w:val="18"/>
          <w:vertAlign w:val="subscript"/>
          <w:lang w:val="en-GB"/>
        </w:rPr>
        <w:t>70</w:t>
      </w:r>
      <w:r w:rsidRPr="00711C08">
        <w:rPr>
          <w:rFonts w:ascii="Arial" w:hAnsi="Arial" w:cs="Arial"/>
          <w:b/>
          <w:bCs/>
          <w:color w:val="auto"/>
          <w:sz w:val="18"/>
          <w:szCs w:val="18"/>
          <w:lang w:val="en-GB"/>
        </w:rPr>
        <w:t xml:space="preserve"> </w:t>
      </w:r>
      <w:r w:rsidRPr="00711C08">
        <w:rPr>
          <w:rFonts w:ascii="Arial" w:hAnsi="Arial" w:cs="Arial"/>
          <w:b/>
          <w:bCs/>
          <w:color w:val="auto"/>
          <w:sz w:val="18"/>
          <w:szCs w:val="18"/>
          <w:lang w:val="en-GB"/>
        </w:rPr>
        <w:t>complexes</w:t>
      </w:r>
      <w:r w:rsidRPr="00711C08">
        <w:rPr>
          <w:rFonts w:ascii="Arial" w:hAnsi="Arial" w:cs="Arial"/>
          <w:b/>
          <w:bCs/>
          <w:color w:val="auto"/>
          <w:sz w:val="18"/>
          <w:szCs w:val="18"/>
          <w:lang w:val="en-GB"/>
        </w:rPr>
        <w:t xml:space="preserve"> </w:t>
      </w:r>
      <w:r w:rsidRPr="00711C08">
        <w:rPr>
          <w:rFonts w:ascii="Arial" w:hAnsi="Arial" w:cs="Arial"/>
          <w:color w:val="auto"/>
          <w:sz w:val="18"/>
          <w:szCs w:val="18"/>
          <w:lang w:val="en-GB"/>
        </w:rPr>
        <w:t xml:space="preserve">A) The effect of ionic strength on protein stability. Differential Scanning Calorimetry (DSC) for IFIT1 protein(1.5 </w:t>
      </w:r>
      <w:r w:rsidRPr="00711C08">
        <w:rPr>
          <w:rFonts w:ascii="Arial" w:hAnsi="Arial" w:cs="Arial"/>
          <w:color w:val="auto"/>
          <w:sz w:val="18"/>
          <w:szCs w:val="18"/>
        </w:rPr>
        <w:t>μ</w:t>
      </w:r>
      <w:r w:rsidRPr="00711C08">
        <w:rPr>
          <w:rFonts w:ascii="Arial" w:hAnsi="Arial" w:cs="Arial"/>
          <w:color w:val="auto"/>
          <w:sz w:val="18"/>
          <w:szCs w:val="18"/>
          <w:lang w:val="en-GB"/>
        </w:rPr>
        <w:t xml:space="preserve">M)in 20 mM HEPES buffer with 100 mM NaCl (red) and 200 mM NaCl (blue). B) Effect of pH and detergent </w:t>
      </w:r>
      <w:proofErr w:type="spellStart"/>
      <w:r w:rsidRPr="00711C08">
        <w:rPr>
          <w:rFonts w:ascii="Arial" w:hAnsi="Arial" w:cs="Arial"/>
          <w:color w:val="auto"/>
          <w:sz w:val="18"/>
          <w:szCs w:val="18"/>
          <w:lang w:val="en-GB"/>
        </w:rPr>
        <w:t>contenton</w:t>
      </w:r>
      <w:proofErr w:type="spellEnd"/>
      <w:r w:rsidRPr="00711C08">
        <w:rPr>
          <w:rFonts w:ascii="Arial" w:hAnsi="Arial" w:cs="Arial"/>
          <w:color w:val="auto"/>
          <w:sz w:val="18"/>
          <w:szCs w:val="18"/>
          <w:lang w:val="en-GB"/>
        </w:rPr>
        <w:t xml:space="preserve"> protein stability. Differential Scanning Calorimetry (DSC) for IFIT1 protein(1.5 </w:t>
      </w:r>
      <w:r w:rsidRPr="00711C08">
        <w:rPr>
          <w:rFonts w:ascii="Arial" w:hAnsi="Arial" w:cs="Arial"/>
          <w:color w:val="auto"/>
          <w:sz w:val="18"/>
          <w:szCs w:val="18"/>
        </w:rPr>
        <w:t>μ</w:t>
      </w:r>
      <w:r w:rsidRPr="00711C08">
        <w:rPr>
          <w:rFonts w:ascii="Arial" w:hAnsi="Arial" w:cs="Arial"/>
          <w:color w:val="auto"/>
          <w:sz w:val="18"/>
          <w:szCs w:val="18"/>
          <w:lang w:val="en-GB"/>
        </w:rPr>
        <w:t>M)in 20 mM HEPES buffer with100mM NaCl, pH 7.0, 0.05% Tween(violet), 20 mM HEPES buffer with 200 mM NaCl, pH7.0, 0.05% Tween(orange), 20 mM HEPES buffer with100mM NaCl, pH 7.5, 0.05% Tween (pink), 20 mM HEPES buffer with 200mM NaCl, pH7.5, 0.05% Tween (blue), 20 mM HEPES buffer with100mM NaCl, pH7.5, 0.075% Pluronic (green)and 20 mM HEPES buffer with 200 mM NaCl, pH 7.5, 0.075%Pluronic(grey).</w:t>
      </w:r>
    </w:p>
    <w:p w14:paraId="32490286" w14:textId="77777777" w:rsidR="00711C08" w:rsidRDefault="00711C08" w:rsidP="00711C08">
      <w:pPr>
        <w:pStyle w:val="Nagwek1"/>
        <w:spacing w:before="0"/>
        <w:jc w:val="both"/>
        <w:rPr>
          <w:lang w:val="en-GB"/>
        </w:rPr>
      </w:pPr>
      <w:bookmarkStart w:id="3" w:name="_Toc173250817"/>
    </w:p>
    <w:p w14:paraId="0A864B7B" w14:textId="6BC6521D" w:rsidR="00711C08" w:rsidRPr="006051AA" w:rsidRDefault="00711C08" w:rsidP="00711C08">
      <w:pPr>
        <w:pStyle w:val="Nagwek1"/>
        <w:spacing w:before="0"/>
        <w:jc w:val="both"/>
        <w:rPr>
          <w:rFonts w:ascii="Arial" w:hAnsi="Arial" w:cs="Arial"/>
          <w:b/>
          <w:bCs/>
          <w:color w:val="auto"/>
          <w:sz w:val="18"/>
          <w:szCs w:val="18"/>
          <w:lang w:val="en-US"/>
        </w:rPr>
      </w:pP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Figure S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4</w:t>
      </w: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. </w:t>
      </w:r>
      <w:r w:rsidRPr="00E77C52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Differential </w:t>
      </w:r>
      <w:r w:rsidRPr="006051AA">
        <w:rPr>
          <w:rFonts w:ascii="Arial" w:hAnsi="Arial" w:cs="Arial"/>
          <w:b/>
          <w:bCs/>
          <w:color w:val="auto"/>
          <w:sz w:val="18"/>
          <w:szCs w:val="18"/>
          <w:lang w:val="en-US"/>
        </w:rPr>
        <w:t>Scanning Calorimetry Analysis of IFIT1 with and without N-terminal Histag</w:t>
      </w:r>
      <w:bookmarkEnd w:id="3"/>
      <w:r w:rsidRPr="006051AA">
        <w:rPr>
          <w:rFonts w:ascii="Arial" w:hAnsi="Arial" w:cs="Arial"/>
          <w:b/>
          <w:bCs/>
          <w:color w:val="auto"/>
          <w:sz w:val="18"/>
          <w:szCs w:val="18"/>
          <w:lang w:val="en-US"/>
        </w:rPr>
        <w:t xml:space="preserve"> – </w:t>
      </w:r>
    </w:p>
    <w:p w14:paraId="5D0A68BA" w14:textId="77777777" w:rsidR="00711C08" w:rsidRPr="00711C08" w:rsidRDefault="00711C08" w:rsidP="00711C08">
      <w:pPr>
        <w:pStyle w:val="Nagwek1"/>
        <w:spacing w:before="0"/>
        <w:jc w:val="both"/>
        <w:rPr>
          <w:rFonts w:ascii="Arial" w:hAnsi="Arial" w:cs="Arial"/>
          <w:color w:val="auto"/>
          <w:sz w:val="18"/>
          <w:szCs w:val="18"/>
          <w:lang w:val="en-GB"/>
        </w:rPr>
      </w:pPr>
      <w:bookmarkStart w:id="4" w:name="_Toc173244659"/>
      <w:bookmarkStart w:id="5" w:name="_Toc173250818"/>
      <w:r w:rsidRPr="006051AA">
        <w:rPr>
          <w:rFonts w:ascii="Arial" w:hAnsi="Arial" w:cs="Arial"/>
          <w:b/>
          <w:bCs/>
          <w:color w:val="auto"/>
          <w:sz w:val="18"/>
          <w:szCs w:val="18"/>
          <w:lang w:val="en-GB"/>
        </w:rPr>
        <w:t>The impact of IFIT1 interactions with cap-0 and cap-1 RNAs on protein stability.</w:t>
      </w:r>
      <w:r w:rsidRPr="006051AA" w:rsidDel="00E77C52">
        <w:rPr>
          <w:rFonts w:ascii="Arial" w:hAnsi="Arial" w:cs="Arial"/>
          <w:b/>
          <w:bCs/>
          <w:color w:val="auto"/>
          <w:sz w:val="18"/>
          <w:szCs w:val="18"/>
          <w:lang w:val="en-US"/>
        </w:rPr>
        <w:t xml:space="preserve"> </w:t>
      </w:r>
      <w:r w:rsidRPr="006051AA">
        <w:rPr>
          <w:rFonts w:ascii="Arial" w:hAnsi="Arial" w:cs="Arial"/>
          <w:color w:val="auto"/>
          <w:sz w:val="18"/>
          <w:szCs w:val="18"/>
          <w:lang w:val="en-GB"/>
        </w:rPr>
        <w:t>IFIT1 protein without the N-terminal Histag (TEV protease cleavage) exhibited slightly higher stability compared to IFIT1 with the N-terminal Histag. The IFIT1 complex with cap-0-RNA demonstrated significantly higher stability compared to IFIT1 alone, comparably for samples with and without the N-terminal Histag. For IFIT1 with cap-1-RNA, no improvement in stability was observed compared to the protein alone, regardless of the presence of the N-terminal Histag.</w:t>
      </w:r>
      <w:bookmarkEnd w:id="4"/>
      <w:bookmarkEnd w:id="5"/>
    </w:p>
    <w:p w14:paraId="73608680" w14:textId="77777777" w:rsidR="00711C08" w:rsidRPr="00904641" w:rsidRDefault="00711C08" w:rsidP="00711C08">
      <w:pPr>
        <w:pStyle w:val="Nagwek1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bookmarkStart w:id="6" w:name="_Toc173250819"/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Figure S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5</w:t>
      </w: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. MST traces and curves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from the measurements of RNA70 ligands and free cap analogs</w:t>
      </w:r>
      <w:bookmarkEnd w:id="6"/>
    </w:p>
    <w:p w14:paraId="5914E205" w14:textId="77777777" w:rsidR="00711C08" w:rsidRDefault="00711C08" w:rsidP="00711C08">
      <w:pPr>
        <w:jc w:val="both"/>
        <w:rPr>
          <w:rFonts w:ascii="Arial" w:hAnsi="Arial" w:cs="Arial"/>
          <w:sz w:val="18"/>
          <w:szCs w:val="18"/>
          <w:lang w:val="en-GB"/>
        </w:rPr>
      </w:pPr>
      <w:r w:rsidRPr="009C07C8">
        <w:rPr>
          <w:rFonts w:ascii="Arial" w:hAnsi="Arial" w:cs="Arial"/>
          <w:sz w:val="18"/>
          <w:szCs w:val="18"/>
          <w:lang w:val="en-GB"/>
        </w:rPr>
        <w:t xml:space="preserve">A) Merged measurements from </w:t>
      </w:r>
      <w:r>
        <w:rPr>
          <w:rFonts w:ascii="Arial" w:hAnsi="Arial" w:cs="Arial"/>
          <w:sz w:val="18"/>
          <w:szCs w:val="18"/>
          <w:lang w:val="en-GB"/>
        </w:rPr>
        <w:t xml:space="preserve">the </w:t>
      </w:r>
      <w:r w:rsidRPr="009C07C8">
        <w:rPr>
          <w:rFonts w:ascii="Arial" w:hAnsi="Arial" w:cs="Arial"/>
          <w:sz w:val="18"/>
          <w:szCs w:val="18"/>
          <w:lang w:val="en-GB"/>
        </w:rPr>
        <w:t>MST binding assay (traces and curves) for IFIT1-cap analog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9C07C8">
        <w:rPr>
          <w:rFonts w:ascii="Arial" w:hAnsi="Arial" w:cs="Arial"/>
          <w:sz w:val="18"/>
          <w:szCs w:val="18"/>
          <w:lang w:val="en-GB"/>
        </w:rPr>
        <w:t>interaction.</w:t>
      </w:r>
      <w:r>
        <w:rPr>
          <w:rFonts w:ascii="Arial" w:hAnsi="Arial" w:cs="Arial"/>
          <w:sz w:val="18"/>
          <w:szCs w:val="18"/>
          <w:lang w:val="en-GB"/>
        </w:rPr>
        <w:t xml:space="preserve"> </w:t>
      </w:r>
      <w:r w:rsidRPr="009C07C8">
        <w:rPr>
          <w:rFonts w:ascii="Arial" w:hAnsi="Arial" w:cs="Arial"/>
          <w:sz w:val="18"/>
          <w:szCs w:val="18"/>
          <w:lang w:val="en-GB"/>
        </w:rPr>
        <w:t xml:space="preserve">B) Merged measurements from MST binding assay (traces and curves) for IFIT1-capped RNA70 interaction. </w:t>
      </w:r>
      <w:r>
        <w:rPr>
          <w:rFonts w:ascii="Arial" w:hAnsi="Arial" w:cs="Arial"/>
          <w:sz w:val="18"/>
          <w:szCs w:val="18"/>
          <w:lang w:val="en-GB"/>
        </w:rPr>
        <w:t>Data were processed as described in the experimental section.</w:t>
      </w:r>
    </w:p>
    <w:p w14:paraId="68D52180" w14:textId="3D162932" w:rsidR="00523EA2" w:rsidRPr="003A1D84" w:rsidRDefault="00EF5FA3" w:rsidP="00523EA2">
      <w:pPr>
        <w:rPr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 w14:paraId="3B157429" w14:textId="56CBB952" w:rsidR="00EF5FA3" w:rsidRPr="00904641" w:rsidRDefault="00EF5FA3" w:rsidP="00EF5FA3">
      <w:pP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lastRenderedPageBreak/>
        <w:t>Table</w:t>
      </w: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 S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1</w:t>
      </w:r>
      <w:r w:rsidRPr="00904641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. Template sequences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 for </w:t>
      </w:r>
      <w:r w:rsidR="007A6CC3"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>measurement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val="en-US"/>
        </w:rPr>
        <w:t xml:space="preserve"> optimization</w:t>
      </w:r>
    </w:p>
    <w:p w14:paraId="41160ECE" w14:textId="60915016" w:rsidR="00EF5FA3" w:rsidRPr="009C07C8" w:rsidRDefault="00EF5FA3" w:rsidP="00EF5FA3">
      <w:pPr>
        <w:rPr>
          <w:rFonts w:ascii="Arial" w:hAnsi="Arial" w:cs="Arial"/>
          <w:sz w:val="18"/>
          <w:szCs w:val="18"/>
          <w:lang w:val="en-GB"/>
        </w:rPr>
      </w:pPr>
      <w:r w:rsidRPr="009C07C8">
        <w:rPr>
          <w:rFonts w:ascii="Arial" w:hAnsi="Arial" w:cs="Arial"/>
          <w:sz w:val="18"/>
          <w:szCs w:val="18"/>
          <w:lang w:val="en-GB"/>
        </w:rPr>
        <w:t xml:space="preserve">The oligonucleotide sequences </w:t>
      </w:r>
      <w:r w:rsidR="007A6CC3">
        <w:rPr>
          <w:rFonts w:ascii="Arial" w:hAnsi="Arial" w:cs="Arial"/>
          <w:sz w:val="18"/>
          <w:szCs w:val="18"/>
          <w:lang w:val="en-GB"/>
        </w:rPr>
        <w:t xml:space="preserve">were </w:t>
      </w:r>
      <w:r w:rsidRPr="009C07C8">
        <w:rPr>
          <w:rFonts w:ascii="Arial" w:hAnsi="Arial" w:cs="Arial"/>
          <w:sz w:val="18"/>
          <w:szCs w:val="18"/>
          <w:lang w:val="en-GB"/>
        </w:rPr>
        <w:t>annealed to prepare DNA templates for the IVT synthesis of capped RNA ligands (underlined transcription start site).</w:t>
      </w:r>
    </w:p>
    <w:p w14:paraId="6732D5E7" w14:textId="77777777" w:rsidR="005F64CF" w:rsidRPr="005F64CF" w:rsidRDefault="005F64CF" w:rsidP="00EF5FA3">
      <w:pPr>
        <w:rPr>
          <w:rFonts w:ascii="Arial" w:hAnsi="Arial" w:cs="Arial"/>
          <w:sz w:val="20"/>
          <w:lang w:val="en-GB"/>
        </w:rPr>
      </w:pPr>
    </w:p>
    <w:tbl>
      <w:tblPr>
        <w:tblStyle w:val="Tabela-Siatka"/>
        <w:tblpPr w:leftFromText="180" w:rightFromText="180" w:vertAnchor="text" w:tblpXSpec="center" w:tblpY="1"/>
        <w:tblOverlap w:val="never"/>
        <w:tblW w:w="974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184"/>
      </w:tblGrid>
      <w:tr w:rsidR="00A22626" w14:paraId="0C1B7383" w14:textId="77777777" w:rsidTr="00EF5FA3">
        <w:trPr>
          <w:trHeight w:val="318"/>
        </w:trPr>
        <w:tc>
          <w:tcPr>
            <w:tcW w:w="1560" w:type="dxa"/>
            <w:vAlign w:val="center"/>
          </w:tcPr>
          <w:p w14:paraId="5EBEF544" w14:textId="77777777" w:rsidR="00A22626" w:rsidRPr="00863C2B" w:rsidRDefault="00A226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84" w:type="dxa"/>
            <w:vAlign w:val="center"/>
          </w:tcPr>
          <w:p w14:paraId="5ED42850" w14:textId="77777777" w:rsidR="00A22626" w:rsidRPr="00863C2B" w:rsidRDefault="00A226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63C2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Oligonucleotide sequence</w:t>
            </w:r>
          </w:p>
        </w:tc>
      </w:tr>
      <w:tr w:rsidR="00A22626" w14:paraId="0C39B5E0" w14:textId="77777777" w:rsidTr="00EF5FA3">
        <w:trPr>
          <w:trHeight w:val="328"/>
        </w:trPr>
        <w:tc>
          <w:tcPr>
            <w:tcW w:w="1560" w:type="dxa"/>
            <w:vMerge w:val="restart"/>
            <w:vAlign w:val="center"/>
          </w:tcPr>
          <w:p w14:paraId="142B1207" w14:textId="77777777" w:rsidR="00A22626" w:rsidRPr="00863C2B" w:rsidRDefault="00A226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RNA</w:t>
            </w:r>
            <w:r w:rsidRPr="00863C2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8184" w:type="dxa"/>
            <w:vAlign w:val="center"/>
          </w:tcPr>
          <w:p w14:paraId="535F5B2D" w14:textId="77777777" w:rsidR="00A22626" w:rsidRPr="00863C2B" w:rsidRDefault="00A2262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GTGTAATACGACTCACTATA</w:t>
            </w: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G</w:t>
            </w: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GGACATTTGCTTCTGACACAACTGTGTTCACTAGCAA</w:t>
            </w:r>
          </w:p>
        </w:tc>
      </w:tr>
      <w:tr w:rsidR="00A22626" w14:paraId="30E86748" w14:textId="77777777" w:rsidTr="00EF5FA3">
        <w:trPr>
          <w:trHeight w:val="328"/>
        </w:trPr>
        <w:tc>
          <w:tcPr>
            <w:tcW w:w="1560" w:type="dxa"/>
            <w:vMerge/>
            <w:vAlign w:val="center"/>
          </w:tcPr>
          <w:p w14:paraId="1D0314C4" w14:textId="77777777" w:rsidR="00A22626" w:rsidRPr="00863C2B" w:rsidRDefault="00A226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84" w:type="dxa"/>
            <w:vAlign w:val="center"/>
          </w:tcPr>
          <w:p w14:paraId="1A405422" w14:textId="77777777" w:rsidR="00A22626" w:rsidRPr="00863C2B" w:rsidRDefault="00A2262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TTGCTAGTGAACACAGTTGTGTCAGAAGCAAATGTCCCTATAGTGAGTCGTATTACAC</w:t>
            </w:r>
          </w:p>
        </w:tc>
      </w:tr>
      <w:tr w:rsidR="00A22626" w14:paraId="0D1E7A36" w14:textId="77777777" w:rsidTr="00EF5FA3">
        <w:trPr>
          <w:trHeight w:val="328"/>
        </w:trPr>
        <w:tc>
          <w:tcPr>
            <w:tcW w:w="1560" w:type="dxa"/>
            <w:vMerge w:val="restart"/>
            <w:vAlign w:val="center"/>
          </w:tcPr>
          <w:p w14:paraId="5ECF0135" w14:textId="77777777" w:rsidR="00A22626" w:rsidRPr="00863C2B" w:rsidRDefault="00A226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RNA</w:t>
            </w:r>
            <w:r w:rsidRPr="00863C2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8184" w:type="dxa"/>
            <w:vAlign w:val="center"/>
          </w:tcPr>
          <w:p w14:paraId="466E361B" w14:textId="77777777" w:rsidR="00A22626" w:rsidRPr="00863C2B" w:rsidRDefault="00A2262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GTGTAATACGACTCACTATA</w:t>
            </w: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u w:val="single"/>
                <w:bdr w:val="none" w:sz="0" w:space="0" w:color="auto" w:frame="1"/>
                <w:lang w:val="en-US"/>
              </w:rPr>
              <w:t>G</w:t>
            </w: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GGAAAAAAAAAAAAAAAACATTTGCTTCTGACACA</w:t>
            </w:r>
          </w:p>
        </w:tc>
      </w:tr>
      <w:tr w:rsidR="00A22626" w14:paraId="18E2044C" w14:textId="77777777" w:rsidTr="00EF5FA3">
        <w:trPr>
          <w:trHeight w:val="328"/>
        </w:trPr>
        <w:tc>
          <w:tcPr>
            <w:tcW w:w="1560" w:type="dxa"/>
            <w:vMerge/>
            <w:vAlign w:val="center"/>
          </w:tcPr>
          <w:p w14:paraId="65431945" w14:textId="77777777" w:rsidR="00A22626" w:rsidRPr="00863C2B" w:rsidRDefault="00A226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84" w:type="dxa"/>
            <w:vAlign w:val="center"/>
          </w:tcPr>
          <w:p w14:paraId="5A2D59FC" w14:textId="77777777" w:rsidR="00A22626" w:rsidRPr="00863C2B" w:rsidRDefault="00A2262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TGTGTCAGAAGCAAATGTTTTTTTTTTTTTTTTCCCTATAGTGAGTCGTATTACAC</w:t>
            </w:r>
          </w:p>
        </w:tc>
      </w:tr>
      <w:tr w:rsidR="00A22626" w14:paraId="57CC2FFE" w14:textId="77777777" w:rsidTr="00EF5FA3">
        <w:trPr>
          <w:trHeight w:val="647"/>
        </w:trPr>
        <w:tc>
          <w:tcPr>
            <w:tcW w:w="1560" w:type="dxa"/>
            <w:vMerge w:val="restart"/>
            <w:vAlign w:val="center"/>
          </w:tcPr>
          <w:p w14:paraId="31CB92BB" w14:textId="77777777" w:rsidR="00A22626" w:rsidRPr="00863C2B" w:rsidRDefault="00A2262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RNA</w:t>
            </w:r>
            <w:r w:rsidRPr="00863C2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8184" w:type="dxa"/>
            <w:vAlign w:val="center"/>
          </w:tcPr>
          <w:p w14:paraId="69C8CF78" w14:textId="77777777" w:rsidR="00A22626" w:rsidRPr="00863C2B" w:rsidRDefault="00A2262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3C2B">
              <w:rPr>
                <w:rFonts w:ascii="Arial" w:hAnsi="Arial" w:cs="Arial"/>
                <w:sz w:val="20"/>
                <w:szCs w:val="20"/>
                <w:lang w:val="en-US"/>
              </w:rPr>
              <w:t>GTGTAATACGACTCACTATA</w:t>
            </w:r>
            <w:r w:rsidRPr="00863C2B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</w:t>
            </w:r>
            <w:r w:rsidRPr="00863C2B">
              <w:rPr>
                <w:rFonts w:ascii="Arial" w:hAnsi="Arial" w:cs="Arial"/>
                <w:sz w:val="20"/>
                <w:szCs w:val="20"/>
                <w:lang w:val="en-US"/>
              </w:rPr>
              <w:t>GGACATTTGCTTCTGACACAACTGTGTTCACTAGCAACCTCAAACAGACACCATGGTGCATCTGACTCCT</w:t>
            </w:r>
          </w:p>
        </w:tc>
      </w:tr>
      <w:tr w:rsidR="00A22626" w14:paraId="68A288D4" w14:textId="77777777" w:rsidTr="00EF5FA3">
        <w:trPr>
          <w:trHeight w:val="656"/>
        </w:trPr>
        <w:tc>
          <w:tcPr>
            <w:tcW w:w="1560" w:type="dxa"/>
            <w:vMerge/>
            <w:vAlign w:val="center"/>
          </w:tcPr>
          <w:p w14:paraId="4F5A17B6" w14:textId="77777777" w:rsidR="00A22626" w:rsidRPr="00863C2B" w:rsidRDefault="00A2262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84" w:type="dxa"/>
            <w:vAlign w:val="center"/>
          </w:tcPr>
          <w:p w14:paraId="4E4C854C" w14:textId="77777777" w:rsidR="00A22626" w:rsidRPr="00863C2B" w:rsidRDefault="00A2262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3C2B">
              <w:rPr>
                <w:rFonts w:ascii="Arial" w:hAnsi="Arial" w:cs="Arial"/>
                <w:sz w:val="20"/>
                <w:szCs w:val="20"/>
                <w:lang w:val="en-US"/>
              </w:rPr>
              <w:t>AGGAGTCAGATGCACCATGGTGTCTGTTTGAGGTTGCTAGTGAACACAGTTGTGTCAGAAGCAAATGTCCCTATAGTGAGTCGTATTACAC</w:t>
            </w:r>
          </w:p>
        </w:tc>
      </w:tr>
      <w:tr w:rsidR="00237679" w:rsidRPr="00237679" w14:paraId="63608289" w14:textId="77777777" w:rsidTr="00EF5FA3">
        <w:trPr>
          <w:trHeight w:val="656"/>
        </w:trPr>
        <w:tc>
          <w:tcPr>
            <w:tcW w:w="1560" w:type="dxa"/>
            <w:vMerge w:val="restart"/>
            <w:vAlign w:val="center"/>
          </w:tcPr>
          <w:p w14:paraId="142A89A1" w14:textId="64427609" w:rsidR="00237679" w:rsidRPr="00863C2B" w:rsidRDefault="00237679" w:rsidP="006B1E6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RNA</w:t>
            </w:r>
            <w:r w:rsidRPr="00863C2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8184" w:type="dxa"/>
            <w:vAlign w:val="center"/>
          </w:tcPr>
          <w:p w14:paraId="3EEE9F42" w14:textId="328EB704" w:rsidR="00237679" w:rsidRPr="00863C2B" w:rsidRDefault="00237679" w:rsidP="0023767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3C2B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GTGTAATACGACTCACTATA</w:t>
            </w:r>
            <w:r w:rsidRPr="006B1E6F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G</w:t>
            </w:r>
            <w:r w:rsidRPr="00237679">
              <w:rPr>
                <w:rFonts w:ascii="Arial" w:hAnsi="Arial" w:cs="Arial"/>
                <w:sz w:val="20"/>
                <w:szCs w:val="20"/>
                <w:lang w:val="en-US"/>
              </w:rPr>
              <w:t>GGGTACGCCACCATGGAAGGTAAGCCTATCCCTAACCCTCTCCTCGGTCTCGATTCTACGGGCAGCAGCGGCGGCAAACCGATTCCGAACCCGCTGCTGGGCCTGGATAGCACCGGTAGCAGCGGCGGTAAGCCTATCCCTAACCCTCTCCTCGGTCTCGATTCTACGGTTTAAACAAAAAAAAAAAAAAAAAAAAAAAAAAAAAAAAAAAAAAAAAAAAAAAAAAAAAAAAAAAA</w:t>
            </w:r>
          </w:p>
        </w:tc>
      </w:tr>
      <w:tr w:rsidR="00237679" w:rsidRPr="00237679" w14:paraId="5DF45195" w14:textId="77777777" w:rsidTr="00EF5FA3">
        <w:trPr>
          <w:trHeight w:val="656"/>
        </w:trPr>
        <w:tc>
          <w:tcPr>
            <w:tcW w:w="1560" w:type="dxa"/>
            <w:vMerge/>
            <w:vAlign w:val="center"/>
          </w:tcPr>
          <w:p w14:paraId="31CA1BE2" w14:textId="77777777" w:rsidR="00237679" w:rsidRPr="00863C2B" w:rsidRDefault="0023767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184" w:type="dxa"/>
            <w:vAlign w:val="center"/>
          </w:tcPr>
          <w:p w14:paraId="14D2B533" w14:textId="43BFA738" w:rsidR="00237679" w:rsidRPr="00237679" w:rsidRDefault="00237679" w:rsidP="0023767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679">
              <w:rPr>
                <w:rFonts w:ascii="Arial" w:hAnsi="Arial" w:cs="Arial"/>
                <w:sz w:val="20"/>
                <w:szCs w:val="20"/>
                <w:lang w:val="en-GB"/>
              </w:rPr>
              <w:t>TTTTTTTTTTTTTTTTTTTTTTTTTTTTTTTTTTTTTTTTTTTTTTTTTTTTTTTTTTTTGTTTAAACCGTAGAATCGAGACCGAGGAGAGGGTTAGGGATAGGCTTACCGCCGCTGCTA</w:t>
            </w:r>
          </w:p>
          <w:p w14:paraId="319C8DAF" w14:textId="7DBFD6B2" w:rsidR="00237679" w:rsidRPr="006B1E6F" w:rsidRDefault="00237679" w:rsidP="0023767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679">
              <w:rPr>
                <w:rFonts w:ascii="Arial" w:hAnsi="Arial" w:cs="Arial"/>
                <w:sz w:val="20"/>
                <w:szCs w:val="20"/>
                <w:lang w:val="en-GB"/>
              </w:rPr>
              <w:t>CCGGTGCTATCCAGGCCCAGCAGCGGGTTCGGAATCGGTTTGCCGCCGCTGCTGCCCGTAGAATCGAGACCGAGGAGAGGGTTAGGGATAGGCTTACCTTCCATGGTGGCGTACCCCTATAGTGAGTCGTATTACAC</w:t>
            </w:r>
          </w:p>
        </w:tc>
      </w:tr>
    </w:tbl>
    <w:p w14:paraId="0102B33B" w14:textId="77777777" w:rsidR="005F64CF" w:rsidRPr="005F64CF" w:rsidRDefault="005F64CF" w:rsidP="005F64CF">
      <w:pPr>
        <w:rPr>
          <w:rFonts w:ascii="Arial" w:hAnsi="Arial" w:cs="Arial"/>
          <w:sz w:val="20"/>
          <w:lang w:val="en-GB"/>
        </w:rPr>
      </w:pPr>
    </w:p>
    <w:sectPr w:rsidR="005F64CF" w:rsidRPr="005F64CF" w:rsidSect="002955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64DB7" w14:textId="77777777" w:rsidR="00A263DB" w:rsidRDefault="00A263DB" w:rsidP="00863C2B">
      <w:pPr>
        <w:spacing w:after="0" w:line="240" w:lineRule="auto"/>
      </w:pPr>
      <w:r>
        <w:separator/>
      </w:r>
    </w:p>
  </w:endnote>
  <w:endnote w:type="continuationSeparator" w:id="0">
    <w:p w14:paraId="3DA9D2F4" w14:textId="77777777" w:rsidR="00A263DB" w:rsidRDefault="00A263DB" w:rsidP="008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7395097"/>
      <w:docPartObj>
        <w:docPartGallery w:val="Page Numbers (Bottom of Page)"/>
        <w:docPartUnique/>
      </w:docPartObj>
    </w:sdtPr>
    <w:sdtContent>
      <w:p w14:paraId="08D4CC63" w14:textId="618A98B4" w:rsidR="001C61D5" w:rsidRDefault="001C61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BDF5EB" w14:textId="77777777" w:rsidR="001C61D5" w:rsidRDefault="001C61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8DA38" w14:textId="77777777" w:rsidR="00A263DB" w:rsidRDefault="00A263DB" w:rsidP="00863C2B">
      <w:pPr>
        <w:spacing w:after="0" w:line="240" w:lineRule="auto"/>
      </w:pPr>
      <w:r>
        <w:separator/>
      </w:r>
    </w:p>
  </w:footnote>
  <w:footnote w:type="continuationSeparator" w:id="0">
    <w:p w14:paraId="33C32E51" w14:textId="77777777" w:rsidR="00A263DB" w:rsidRDefault="00A263DB" w:rsidP="00863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D7041"/>
    <w:multiLevelType w:val="hybridMultilevel"/>
    <w:tmpl w:val="2BA49BA6"/>
    <w:lvl w:ilvl="0" w:tplc="6EDECB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B061B"/>
    <w:multiLevelType w:val="hybridMultilevel"/>
    <w:tmpl w:val="EB300E60"/>
    <w:lvl w:ilvl="0" w:tplc="68B2C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93493">
    <w:abstractNumId w:val="1"/>
  </w:num>
  <w:num w:numId="2" w16cid:durableId="22822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53"/>
    <w:rsid w:val="00073D1C"/>
    <w:rsid w:val="000921D5"/>
    <w:rsid w:val="000A1EF8"/>
    <w:rsid w:val="000D09E9"/>
    <w:rsid w:val="00142A53"/>
    <w:rsid w:val="001A747C"/>
    <w:rsid w:val="001B181B"/>
    <w:rsid w:val="001B5DCD"/>
    <w:rsid w:val="001C61D5"/>
    <w:rsid w:val="002004B2"/>
    <w:rsid w:val="00206E1A"/>
    <w:rsid w:val="002074F2"/>
    <w:rsid w:val="002075F0"/>
    <w:rsid w:val="00237679"/>
    <w:rsid w:val="002410B9"/>
    <w:rsid w:val="00257F5B"/>
    <w:rsid w:val="00274E2E"/>
    <w:rsid w:val="00295585"/>
    <w:rsid w:val="002D6E3C"/>
    <w:rsid w:val="002E6ED9"/>
    <w:rsid w:val="002F4252"/>
    <w:rsid w:val="003011EC"/>
    <w:rsid w:val="00360488"/>
    <w:rsid w:val="003A1D84"/>
    <w:rsid w:val="003A51BE"/>
    <w:rsid w:val="003A5498"/>
    <w:rsid w:val="004347AA"/>
    <w:rsid w:val="00435879"/>
    <w:rsid w:val="004B1F74"/>
    <w:rsid w:val="004B5B7D"/>
    <w:rsid w:val="004B779B"/>
    <w:rsid w:val="004C1763"/>
    <w:rsid w:val="00511474"/>
    <w:rsid w:val="00523856"/>
    <w:rsid w:val="00523EA2"/>
    <w:rsid w:val="00573837"/>
    <w:rsid w:val="00580AE8"/>
    <w:rsid w:val="005D1353"/>
    <w:rsid w:val="005E0BCC"/>
    <w:rsid w:val="005E0E46"/>
    <w:rsid w:val="005F64CF"/>
    <w:rsid w:val="00601FF2"/>
    <w:rsid w:val="0060436B"/>
    <w:rsid w:val="006051AA"/>
    <w:rsid w:val="00613916"/>
    <w:rsid w:val="00621296"/>
    <w:rsid w:val="00627AF0"/>
    <w:rsid w:val="00685694"/>
    <w:rsid w:val="00696CDB"/>
    <w:rsid w:val="006B1E6F"/>
    <w:rsid w:val="006B3510"/>
    <w:rsid w:val="00711C08"/>
    <w:rsid w:val="00731374"/>
    <w:rsid w:val="00780509"/>
    <w:rsid w:val="00784973"/>
    <w:rsid w:val="0078541D"/>
    <w:rsid w:val="007A6CC3"/>
    <w:rsid w:val="007D24DC"/>
    <w:rsid w:val="007F2947"/>
    <w:rsid w:val="00805528"/>
    <w:rsid w:val="008248D6"/>
    <w:rsid w:val="008340F8"/>
    <w:rsid w:val="00852F2C"/>
    <w:rsid w:val="00856B56"/>
    <w:rsid w:val="00863C2B"/>
    <w:rsid w:val="008762E2"/>
    <w:rsid w:val="008A568E"/>
    <w:rsid w:val="008C51B5"/>
    <w:rsid w:val="008D0A6F"/>
    <w:rsid w:val="00904641"/>
    <w:rsid w:val="009144EA"/>
    <w:rsid w:val="00950E9A"/>
    <w:rsid w:val="00971DBA"/>
    <w:rsid w:val="009A0A7E"/>
    <w:rsid w:val="009A1F26"/>
    <w:rsid w:val="009B6B22"/>
    <w:rsid w:val="009C07C8"/>
    <w:rsid w:val="009C42F9"/>
    <w:rsid w:val="00A128FB"/>
    <w:rsid w:val="00A22626"/>
    <w:rsid w:val="00A263DB"/>
    <w:rsid w:val="00A33B0F"/>
    <w:rsid w:val="00AB3D78"/>
    <w:rsid w:val="00AC1ADE"/>
    <w:rsid w:val="00AC4C28"/>
    <w:rsid w:val="00AD1A07"/>
    <w:rsid w:val="00AD5866"/>
    <w:rsid w:val="00AD7707"/>
    <w:rsid w:val="00AE0714"/>
    <w:rsid w:val="00AE477F"/>
    <w:rsid w:val="00B1479F"/>
    <w:rsid w:val="00B55488"/>
    <w:rsid w:val="00BA6D67"/>
    <w:rsid w:val="00BD4412"/>
    <w:rsid w:val="00BD5395"/>
    <w:rsid w:val="00BF3EF5"/>
    <w:rsid w:val="00C21C72"/>
    <w:rsid w:val="00C238B5"/>
    <w:rsid w:val="00C46E89"/>
    <w:rsid w:val="00CB1551"/>
    <w:rsid w:val="00CE3305"/>
    <w:rsid w:val="00CF2783"/>
    <w:rsid w:val="00CF2E8A"/>
    <w:rsid w:val="00D06E02"/>
    <w:rsid w:val="00D17628"/>
    <w:rsid w:val="00D54A7F"/>
    <w:rsid w:val="00D95149"/>
    <w:rsid w:val="00DA6585"/>
    <w:rsid w:val="00DA6C77"/>
    <w:rsid w:val="00DB2008"/>
    <w:rsid w:val="00DD4E35"/>
    <w:rsid w:val="00DD5234"/>
    <w:rsid w:val="00E005C2"/>
    <w:rsid w:val="00E407C4"/>
    <w:rsid w:val="00E6438F"/>
    <w:rsid w:val="00E77C52"/>
    <w:rsid w:val="00E9181A"/>
    <w:rsid w:val="00EE2783"/>
    <w:rsid w:val="00EF5FA3"/>
    <w:rsid w:val="00F36822"/>
    <w:rsid w:val="00F60ECE"/>
    <w:rsid w:val="00F62F6A"/>
    <w:rsid w:val="00F75B20"/>
    <w:rsid w:val="00FE411C"/>
    <w:rsid w:val="00FF251F"/>
    <w:rsid w:val="00FF3AEC"/>
    <w:rsid w:val="7919B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815A1B"/>
  <w15:docId w15:val="{5E96487A-37E4-4DA0-A47C-CE8D5DF2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EC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5F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3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F3AE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863C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C2B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6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C2B"/>
    <w:rPr>
      <w:lang w:val="pl-PL"/>
    </w:rPr>
  </w:style>
  <w:style w:type="table" w:styleId="Tabela-Siatka">
    <w:name w:val="Table Grid"/>
    <w:basedOn w:val="Standardowy"/>
    <w:uiPriority w:val="39"/>
    <w:rsid w:val="00863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863C2B"/>
  </w:style>
  <w:style w:type="paragraph" w:customStyle="1" w:styleId="paragraph">
    <w:name w:val="paragraph"/>
    <w:basedOn w:val="Normalny"/>
    <w:link w:val="paragraphZnak"/>
    <w:rsid w:val="00EF5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pellingerror">
    <w:name w:val="spellingerror"/>
    <w:basedOn w:val="Domylnaczcionkaakapitu"/>
    <w:rsid w:val="00EF5FA3"/>
  </w:style>
  <w:style w:type="character" w:customStyle="1" w:styleId="eop">
    <w:name w:val="eop"/>
    <w:basedOn w:val="Domylnaczcionkaakapitu"/>
    <w:rsid w:val="00EF5FA3"/>
  </w:style>
  <w:style w:type="character" w:customStyle="1" w:styleId="paragraphZnak">
    <w:name w:val="paragraph Znak"/>
    <w:basedOn w:val="Domylnaczcionkaakapitu"/>
    <w:link w:val="paragraph"/>
    <w:rsid w:val="00EF5FA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ipercze">
    <w:name w:val="Hyperlink"/>
    <w:basedOn w:val="Domylnaczcionkaakapitu"/>
    <w:uiPriority w:val="99"/>
    <w:unhideWhenUsed/>
    <w:rsid w:val="00EF5F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FA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F5FA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5FA3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075F0"/>
    <w:pPr>
      <w:tabs>
        <w:tab w:val="right" w:leader="dot" w:pos="9062"/>
      </w:tabs>
      <w:spacing w:after="100" w:line="276" w:lineRule="auto"/>
    </w:pPr>
  </w:style>
  <w:style w:type="paragraph" w:styleId="Spistreci1">
    <w:name w:val="toc 1"/>
    <w:basedOn w:val="Normalny"/>
    <w:next w:val="Normalny"/>
    <w:autoRedefine/>
    <w:uiPriority w:val="39"/>
    <w:unhideWhenUsed/>
    <w:rsid w:val="002075F0"/>
    <w:pPr>
      <w:tabs>
        <w:tab w:val="right" w:leader="dot" w:pos="9062"/>
      </w:tabs>
      <w:spacing w:after="0" w:line="276" w:lineRule="auto"/>
    </w:pPr>
  </w:style>
  <w:style w:type="paragraph" w:styleId="Poprawka">
    <w:name w:val="Revision"/>
    <w:hidden/>
    <w:uiPriority w:val="99"/>
    <w:semiHidden/>
    <w:rsid w:val="00AE0714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39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39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391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39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3916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721F1-36F3-4C42-8904-00CA67D8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Śpiewla</dc:creator>
  <cp:keywords/>
  <dc:description/>
  <cp:lastModifiedBy>Tomasz Śpiewla</cp:lastModifiedBy>
  <cp:revision>3</cp:revision>
  <cp:lastPrinted>2024-09-27T16:40:00Z</cp:lastPrinted>
  <dcterms:created xsi:type="dcterms:W3CDTF">2024-10-27T22:31:00Z</dcterms:created>
  <dcterms:modified xsi:type="dcterms:W3CDTF">2024-10-27T22:32:00Z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22377fb2b1a7a47a192ce02013f7c32378b6bd77da71af40cd319cd908fa5964</vt:lpwstr>
  </property>
</Properties>
</file>