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4741" w:rsidRDefault="00934741" w:rsidP="00934741">
      <w:pPr>
        <w:spacing w:after="0"/>
        <w:rPr>
          <w:rFonts w:ascii="Times New Roman" w:hAnsi="Times New Roman" w:cs="Times New Roman"/>
          <w:b/>
          <w:sz w:val="24"/>
          <w:szCs w:val="24"/>
        </w:rPr>
      </w:pPr>
      <w:r>
        <w:rPr>
          <w:rFonts w:ascii="Times New Roman" w:hAnsi="Times New Roman" w:cs="Times New Roman"/>
          <w:b/>
          <w:sz w:val="24"/>
          <w:szCs w:val="24"/>
        </w:rPr>
        <w:t>Supplemental Figure Legends</w:t>
      </w:r>
    </w:p>
    <w:p w:rsidR="00934741" w:rsidRDefault="00934741" w:rsidP="00934741">
      <w:pPr>
        <w:spacing w:after="0"/>
        <w:rPr>
          <w:rFonts w:ascii="Times New Roman" w:hAnsi="Times New Roman" w:cs="Times New Roman"/>
          <w:b/>
          <w:sz w:val="24"/>
          <w:szCs w:val="24"/>
        </w:rPr>
      </w:pPr>
    </w:p>
    <w:p w:rsidR="00934741" w:rsidRPr="00634489" w:rsidRDefault="00934741" w:rsidP="00934741">
      <w:pPr>
        <w:spacing w:after="0"/>
        <w:rPr>
          <w:rFonts w:ascii="Times New Roman" w:hAnsi="Times New Roman" w:cs="Times New Roman"/>
          <w:sz w:val="24"/>
          <w:szCs w:val="24"/>
        </w:rPr>
      </w:pPr>
      <w:r>
        <w:rPr>
          <w:rFonts w:ascii="Times New Roman" w:hAnsi="Times New Roman" w:cs="Times New Roman"/>
          <w:b/>
          <w:sz w:val="24"/>
          <w:szCs w:val="24"/>
        </w:rPr>
        <w:t>Figure S1:</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Control experiments for eIF3 RNA Bind-n-Seq</w:t>
      </w:r>
      <w:r>
        <w:rPr>
          <w:rFonts w:ascii="Times New Roman" w:hAnsi="Times New Roman" w:cs="Times New Roman"/>
          <w:sz w:val="24"/>
          <w:szCs w:val="24"/>
        </w:rPr>
        <w:t xml:space="preserve"> </w:t>
      </w:r>
      <w:r w:rsidRPr="0044586D">
        <w:rPr>
          <w:rFonts w:ascii="Times New Roman" w:hAnsi="Times New Roman" w:cs="Times New Roman"/>
          <w:b/>
          <w:sz w:val="24"/>
          <w:szCs w:val="24"/>
        </w:rPr>
        <w:t>a)</w:t>
      </w:r>
      <w:r w:rsidRPr="00634489">
        <w:rPr>
          <w:rFonts w:ascii="Times New Roman" w:hAnsi="Times New Roman" w:cs="Times New Roman"/>
          <w:sz w:val="24"/>
          <w:szCs w:val="24"/>
        </w:rPr>
        <w:t xml:space="preserve"> </w:t>
      </w:r>
      <w:proofErr w:type="spellStart"/>
      <w:r>
        <w:rPr>
          <w:rFonts w:ascii="Times New Roman" w:hAnsi="Times New Roman" w:cs="Times New Roman"/>
          <w:sz w:val="24"/>
          <w:szCs w:val="24"/>
        </w:rPr>
        <w:t>Commassie</w:t>
      </w:r>
      <w:proofErr w:type="spellEnd"/>
      <w:r>
        <w:rPr>
          <w:rFonts w:ascii="Times New Roman" w:hAnsi="Times New Roman" w:cs="Times New Roman"/>
          <w:sz w:val="24"/>
          <w:szCs w:val="24"/>
        </w:rPr>
        <w:t xml:space="preserve"> blue-</w:t>
      </w:r>
      <w:r w:rsidRPr="00634489">
        <w:rPr>
          <w:rFonts w:ascii="Times New Roman" w:hAnsi="Times New Roman" w:cs="Times New Roman"/>
          <w:sz w:val="24"/>
          <w:szCs w:val="24"/>
        </w:rPr>
        <w:t xml:space="preserve">stained tris-glycine gel of purified eIF3 with indicated subunits. The major contaminant observed is eIF5. </w:t>
      </w:r>
      <w:r w:rsidRPr="0044586D">
        <w:rPr>
          <w:rFonts w:ascii="Times New Roman" w:hAnsi="Times New Roman" w:cs="Times New Roman"/>
          <w:b/>
          <w:sz w:val="24"/>
          <w:szCs w:val="24"/>
        </w:rPr>
        <w:t>b)</w:t>
      </w:r>
      <w:r w:rsidRPr="00634489">
        <w:rPr>
          <w:rFonts w:ascii="Times New Roman" w:hAnsi="Times New Roman" w:cs="Times New Roman"/>
          <w:sz w:val="24"/>
          <w:szCs w:val="24"/>
        </w:rPr>
        <w:t xml:space="preserve"> Purified eIF3 </w:t>
      </w:r>
      <w:r>
        <w:rPr>
          <w:rFonts w:ascii="Times New Roman" w:hAnsi="Times New Roman" w:cs="Times New Roman"/>
          <w:sz w:val="24"/>
          <w:szCs w:val="24"/>
        </w:rPr>
        <w:t>restores</w:t>
      </w:r>
      <w:r w:rsidRPr="00634489">
        <w:rPr>
          <w:rFonts w:ascii="Times New Roman" w:hAnsi="Times New Roman" w:cs="Times New Roman"/>
          <w:sz w:val="24"/>
          <w:szCs w:val="24"/>
        </w:rPr>
        <w:t xml:space="preserve"> translational activity </w:t>
      </w:r>
      <w:r>
        <w:rPr>
          <w:rFonts w:ascii="Times New Roman" w:hAnsi="Times New Roman" w:cs="Times New Roman"/>
          <w:sz w:val="24"/>
          <w:szCs w:val="24"/>
        </w:rPr>
        <w:t xml:space="preserve">to </w:t>
      </w:r>
      <w:r w:rsidRPr="00634489">
        <w:rPr>
          <w:rFonts w:ascii="Times New Roman" w:hAnsi="Times New Roman" w:cs="Times New Roman"/>
          <w:sz w:val="24"/>
          <w:szCs w:val="24"/>
        </w:rPr>
        <w:t xml:space="preserve">heat-inactivated </w:t>
      </w:r>
      <w:r>
        <w:rPr>
          <w:rFonts w:ascii="Times New Roman" w:hAnsi="Times New Roman" w:cs="Times New Roman"/>
          <w:sz w:val="24"/>
          <w:szCs w:val="24"/>
        </w:rPr>
        <w:t xml:space="preserve">extracts from </w:t>
      </w:r>
      <w:r w:rsidRPr="0044586D">
        <w:rPr>
          <w:rFonts w:ascii="Times New Roman" w:hAnsi="Times New Roman" w:cs="Times New Roman"/>
          <w:i/>
          <w:sz w:val="24"/>
          <w:szCs w:val="24"/>
        </w:rPr>
        <w:t>prt1-1</w:t>
      </w:r>
      <w:r w:rsidRPr="00634489">
        <w:rPr>
          <w:rFonts w:ascii="Times New Roman" w:hAnsi="Times New Roman" w:cs="Times New Roman"/>
          <w:sz w:val="24"/>
          <w:szCs w:val="24"/>
        </w:rPr>
        <w:t xml:space="preserve"> </w:t>
      </w:r>
      <w:r>
        <w:rPr>
          <w:rFonts w:ascii="Times New Roman" w:hAnsi="Times New Roman" w:cs="Times New Roman"/>
          <w:sz w:val="24"/>
          <w:szCs w:val="24"/>
        </w:rPr>
        <w:t xml:space="preserve">mutant </w:t>
      </w:r>
      <w:r w:rsidRPr="00634489">
        <w:rPr>
          <w:rFonts w:ascii="Times New Roman" w:hAnsi="Times New Roman" w:cs="Times New Roman"/>
          <w:sz w:val="24"/>
          <w:szCs w:val="24"/>
        </w:rPr>
        <w:t>yeast. Reported are the relative luciferase activit</w:t>
      </w:r>
      <w:r>
        <w:rPr>
          <w:rFonts w:ascii="Times New Roman" w:hAnsi="Times New Roman" w:cs="Times New Roman"/>
          <w:sz w:val="24"/>
          <w:szCs w:val="24"/>
        </w:rPr>
        <w:t>i</w:t>
      </w:r>
      <w:r w:rsidRPr="00634489">
        <w:rPr>
          <w:rFonts w:ascii="Times New Roman" w:hAnsi="Times New Roman" w:cs="Times New Roman"/>
          <w:sz w:val="24"/>
          <w:szCs w:val="24"/>
        </w:rPr>
        <w:t>es of eIF3 heat sensitive (</w:t>
      </w:r>
      <w:r w:rsidRPr="0044586D">
        <w:rPr>
          <w:rFonts w:ascii="Times New Roman" w:hAnsi="Times New Roman" w:cs="Times New Roman"/>
          <w:i/>
          <w:sz w:val="24"/>
          <w:szCs w:val="24"/>
        </w:rPr>
        <w:t>prt1-1</w:t>
      </w:r>
      <w:r w:rsidRPr="00634489">
        <w:rPr>
          <w:rFonts w:ascii="Times New Roman" w:hAnsi="Times New Roman" w:cs="Times New Roman"/>
          <w:sz w:val="24"/>
          <w:szCs w:val="24"/>
        </w:rPr>
        <w:t>) and isogenic (</w:t>
      </w:r>
      <w:r w:rsidRPr="0044586D">
        <w:rPr>
          <w:rFonts w:ascii="Times New Roman" w:hAnsi="Times New Roman" w:cs="Times New Roman"/>
          <w:i/>
          <w:sz w:val="24"/>
          <w:szCs w:val="24"/>
        </w:rPr>
        <w:t>PRT1</w:t>
      </w:r>
      <w:r w:rsidRPr="00634489">
        <w:rPr>
          <w:rFonts w:ascii="Times New Roman" w:hAnsi="Times New Roman" w:cs="Times New Roman"/>
          <w:sz w:val="24"/>
          <w:szCs w:val="24"/>
        </w:rPr>
        <w:t>) yeast extracts</w:t>
      </w:r>
      <w:r>
        <w:rPr>
          <w:rFonts w:ascii="Times New Roman" w:hAnsi="Times New Roman" w:cs="Times New Roman"/>
          <w:sz w:val="24"/>
          <w:szCs w:val="24"/>
        </w:rPr>
        <w:t xml:space="preserve"> supplemented with either 100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purified eIF3 in storage buffer (+eIF3) or equal volume of storage buffer (+Buffer)</w:t>
      </w:r>
      <w:r w:rsidRPr="00634489">
        <w:rPr>
          <w:rFonts w:ascii="Times New Roman" w:hAnsi="Times New Roman" w:cs="Times New Roman"/>
          <w:sz w:val="24"/>
          <w:szCs w:val="24"/>
        </w:rPr>
        <w:t xml:space="preserve">. </w:t>
      </w:r>
      <w:r w:rsidRPr="00BB1A74">
        <w:rPr>
          <w:rFonts w:ascii="Times New Roman" w:hAnsi="Times New Roman" w:cs="Times New Roman"/>
          <w:sz w:val="24"/>
          <w:szCs w:val="24"/>
        </w:rPr>
        <w:t>Replicates indicate independently prepared extract</w:t>
      </w:r>
      <w:r>
        <w:rPr>
          <w:rFonts w:ascii="Times New Roman" w:hAnsi="Times New Roman" w:cs="Times New Roman"/>
          <w:sz w:val="24"/>
          <w:szCs w:val="24"/>
        </w:rPr>
        <w:t>s</w:t>
      </w:r>
      <w:r w:rsidRPr="00BB1A74">
        <w:rPr>
          <w:rFonts w:ascii="Times New Roman" w:hAnsi="Times New Roman" w:cs="Times New Roman"/>
          <w:sz w:val="24"/>
          <w:szCs w:val="24"/>
        </w:rPr>
        <w:t>.</w:t>
      </w:r>
      <w:r>
        <w:rPr>
          <w:rFonts w:ascii="Times New Roman" w:hAnsi="Times New Roman" w:cs="Times New Roman"/>
          <w:sz w:val="24"/>
          <w:szCs w:val="24"/>
        </w:rPr>
        <w:t xml:space="preserve"> B</w:t>
      </w:r>
      <w:r w:rsidRPr="00634489">
        <w:rPr>
          <w:rFonts w:ascii="Times New Roman" w:hAnsi="Times New Roman" w:cs="Times New Roman"/>
          <w:sz w:val="24"/>
          <w:szCs w:val="24"/>
        </w:rPr>
        <w:t>ar</w:t>
      </w:r>
      <w:r>
        <w:rPr>
          <w:rFonts w:ascii="Times New Roman" w:hAnsi="Times New Roman" w:cs="Times New Roman"/>
          <w:sz w:val="24"/>
          <w:szCs w:val="24"/>
        </w:rPr>
        <w:t>s</w:t>
      </w:r>
      <w:r w:rsidRPr="00634489">
        <w:rPr>
          <w:rFonts w:ascii="Times New Roman" w:hAnsi="Times New Roman" w:cs="Times New Roman"/>
          <w:sz w:val="24"/>
          <w:szCs w:val="24"/>
        </w:rPr>
        <w:t xml:space="preserve"> represent the average of 3 technical replicates</w:t>
      </w:r>
      <w:r>
        <w:rPr>
          <w:rFonts w:ascii="Times New Roman" w:hAnsi="Times New Roman" w:cs="Times New Roman"/>
          <w:sz w:val="24"/>
          <w:szCs w:val="24"/>
        </w:rPr>
        <w:t xml:space="preserve"> and</w:t>
      </w:r>
      <w:r w:rsidRPr="00634489">
        <w:rPr>
          <w:rFonts w:ascii="Times New Roman" w:hAnsi="Times New Roman" w:cs="Times New Roman"/>
          <w:sz w:val="24"/>
          <w:szCs w:val="24"/>
        </w:rPr>
        <w:t xml:space="preserve"> error bars represent standard deviation. </w:t>
      </w:r>
      <w:r w:rsidRPr="0044586D">
        <w:rPr>
          <w:rFonts w:ascii="Times New Roman" w:hAnsi="Times New Roman" w:cs="Times New Roman"/>
          <w:b/>
          <w:sz w:val="24"/>
          <w:szCs w:val="24"/>
        </w:rPr>
        <w:t>c)</w:t>
      </w:r>
      <w:r>
        <w:rPr>
          <w:rFonts w:ascii="Times New Roman" w:hAnsi="Times New Roman" w:cs="Times New Roman"/>
          <w:sz w:val="24"/>
          <w:szCs w:val="24"/>
        </w:rPr>
        <w:t xml:space="preserve"> RBNS is reproducible for all libraries. Shown are the bound reads for libraries at 0, 19, 55, 500, and 1500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eIF3, as well as the reads for the input libraries. </w:t>
      </w:r>
      <w:r w:rsidRPr="0044586D">
        <w:rPr>
          <w:rFonts w:ascii="Times New Roman" w:hAnsi="Times New Roman" w:cs="Times New Roman"/>
          <w:b/>
          <w:sz w:val="24"/>
          <w:szCs w:val="24"/>
        </w:rPr>
        <w:t>d)</w:t>
      </w:r>
      <w:r>
        <w:rPr>
          <w:rFonts w:ascii="Times New Roman" w:hAnsi="Times New Roman" w:cs="Times New Roman"/>
          <w:sz w:val="24"/>
          <w:szCs w:val="24"/>
        </w:rPr>
        <w:t xml:space="preserve"> Enrichment of top 10 binders in 0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libraries traced across all libraries. The gradual decrease in eIF3 enrichment score with increased eIF3 concentration is consistent with constant background binding with increasing amount of specifically bound RNA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{"citationItems":[{"id":"ITEM-1","itemData":{"DOI":"10.1016/j.molcel.2014.04.016","ISBN":"1097-4164 (Electronic)\\r1097-2765 (Linking)","ISSN":"10974164","PMID":"24837674","abstract":"Specific protein-RNA interactions guide posttranscriptional gene regulation. Here, we describe RNA Bind-n-Seq (RBNS), a method that comprehensively characterizes sequence and structural specificity of RNA binding proteins (RBPs), and its application tothe developmental alternative splicing factors RBFOX2, CELF1/CUGBP1, and MBNL1. For each factor, we recovered both canonical motifs and additional near-optimal binding motifs. RNA secondary structure inhibits binding of RBFOX2 and CELF1, while MBNL1 favors unpaired Us but tolerates C/G pairing in motifs containing UGC and/or GCU. Dissociation constants calculated from RBNS data using anovel algorithm correlated highly with values measured by surface plasmon resonance. Motifs identified by RBNS were conserved, were bound and active invivo, and distinguished the subset of motifs enriched by CLIP-Seq that had regulatory activity. Together, our data demonstrate that RBNS complements crosslinking-based methods and show that invivo binding and activity of these splicing factors is driven largely by intrinsic RNA affinity. © 2014 Elsevier Inc.","author":[{"dropping-particle":"","family":"Lambert","given":"Nicole","non-dropping-particle":"","parse-names":false,"suffix":""},{"dropping-particle":"","family":"Robertson","given":"Alex","non-dropping-particle":"","parse-names":false,"suffix":""},{"dropping-particle":"","family":"Jangi","given":"Mohini","non-dropping-particle":"","parse-names":false,"suffix":""},{"dropping-particle":"","family":"McGeary","given":"Sean","non-dropping-particle":"","parse-names":false,"suffix":""},{"dropping-particle":"","family":"Sharp","given":"Phillip A.","non-dropping-particle":"","parse-names":false,"suffix":""},{"dropping-particle":"","family":"Burge","given":"Christopher B.","non-dropping-particle":"","parse-names":false,"suffix":""}],"container-title":"Molecular Cell","id":"ITEM-1","issue":"5","issued":{"date-parts":[["2014","6","5"]]},"page":"887-900","title":"RNA Bind-n-Seq: Quantitative Assessment of the Sequence and Structural Binding Specificity of RNA Binding Proteins","type":"article-journal","volume":"54"},"uris":["http://www.mendeley.com/documents/?uuid=41ea664a-ca4a-4d57-9afa-6d0d0b789c0e"]}],"mendeley":{"formattedCitation":"(Lambert et al., 2014)","plainTextFormattedCitation":"(Lambert et al., 2014)"},"properties":{"noteIndex":0},"schema":"https://github.com/citation-style-language/schema/raw/master/csl-citation.json"}</w:instrText>
      </w:r>
      <w:r>
        <w:rPr>
          <w:rFonts w:ascii="Times New Roman" w:hAnsi="Times New Roman" w:cs="Times New Roman"/>
          <w:sz w:val="24"/>
          <w:szCs w:val="24"/>
        </w:rPr>
        <w:fldChar w:fldCharType="separate"/>
      </w:r>
      <w:r w:rsidRPr="00510677">
        <w:rPr>
          <w:rFonts w:ascii="Times New Roman" w:hAnsi="Times New Roman" w:cs="Times New Roman"/>
          <w:noProof/>
          <w:sz w:val="24"/>
          <w:szCs w:val="24"/>
        </w:rPr>
        <w:t>(Lambert et al., 2014)</w:t>
      </w:r>
      <w:r>
        <w:rPr>
          <w:rFonts w:ascii="Times New Roman" w:hAnsi="Times New Roman" w:cs="Times New Roman"/>
          <w:sz w:val="24"/>
          <w:szCs w:val="24"/>
        </w:rPr>
        <w:fldChar w:fldCharType="end"/>
      </w:r>
      <w:r>
        <w:rPr>
          <w:rFonts w:ascii="Times New Roman" w:hAnsi="Times New Roman" w:cs="Times New Roman"/>
          <w:sz w:val="24"/>
          <w:szCs w:val="24"/>
        </w:rPr>
        <w:t>.</w:t>
      </w:r>
    </w:p>
    <w:p w:rsidR="00934741" w:rsidRDefault="00934741" w:rsidP="00934741">
      <w:pPr>
        <w:spacing w:after="0"/>
        <w:rPr>
          <w:rFonts w:ascii="Times New Roman" w:hAnsi="Times New Roman" w:cs="Times New Roman"/>
          <w:b/>
          <w:sz w:val="24"/>
          <w:szCs w:val="24"/>
        </w:rPr>
      </w:pPr>
    </w:p>
    <w:p w:rsidR="00934741" w:rsidRPr="00634489" w:rsidRDefault="00934741" w:rsidP="00934741">
      <w:pPr>
        <w:spacing w:after="0"/>
        <w:rPr>
          <w:rFonts w:ascii="Times New Roman" w:hAnsi="Times New Roman" w:cs="Times New Roman"/>
          <w:sz w:val="24"/>
          <w:szCs w:val="24"/>
        </w:rPr>
      </w:pPr>
      <w:r>
        <w:rPr>
          <w:rFonts w:ascii="Times New Roman" w:hAnsi="Times New Roman" w:cs="Times New Roman"/>
          <w:b/>
          <w:sz w:val="24"/>
          <w:szCs w:val="24"/>
        </w:rPr>
        <w:t>Figure S2</w:t>
      </w:r>
      <w:r>
        <w:rPr>
          <w:rFonts w:ascii="Times New Roman" w:hAnsi="Times New Roman" w:cs="Times New Roman"/>
          <w:sz w:val="24"/>
          <w:szCs w:val="24"/>
        </w:rPr>
        <w:t xml:space="preserve">: </w:t>
      </w:r>
      <w:r w:rsidRPr="0044586D">
        <w:rPr>
          <w:rFonts w:ascii="Times New Roman" w:hAnsi="Times New Roman" w:cs="Times New Roman"/>
          <w:b/>
          <w:sz w:val="24"/>
          <w:szCs w:val="24"/>
        </w:rPr>
        <w:t xml:space="preserve">eIF3 enrichment score is predictive of eIF3 binding </w:t>
      </w:r>
      <w:r>
        <w:rPr>
          <w:rFonts w:ascii="Times New Roman" w:hAnsi="Times New Roman" w:cs="Times New Roman"/>
          <w:b/>
          <w:sz w:val="24"/>
          <w:szCs w:val="24"/>
        </w:rPr>
        <w:t>affinity</w:t>
      </w:r>
      <w:r w:rsidRPr="0044586D">
        <w:rPr>
          <w:rFonts w:ascii="Times New Roman" w:hAnsi="Times New Roman" w:cs="Times New Roman"/>
          <w:b/>
          <w:sz w:val="24"/>
          <w:szCs w:val="24"/>
        </w:rPr>
        <w:t>.</w:t>
      </w:r>
      <w:r>
        <w:rPr>
          <w:rFonts w:ascii="Times New Roman" w:hAnsi="Times New Roman" w:cs="Times New Roman"/>
          <w:sz w:val="24"/>
          <w:szCs w:val="24"/>
        </w:rPr>
        <w:t xml:space="preserve"> Increasing amounts of eIF3 were bound with </w:t>
      </w:r>
      <w:r w:rsidRPr="00634489">
        <w:rPr>
          <w:rFonts w:ascii="Times New Roman" w:hAnsi="Times New Roman" w:cs="Times New Roman"/>
          <w:sz w:val="24"/>
          <w:szCs w:val="24"/>
          <w:vertAlign w:val="superscript"/>
        </w:rPr>
        <w:t>32</w:t>
      </w:r>
      <w:r>
        <w:rPr>
          <w:rFonts w:ascii="Times New Roman" w:hAnsi="Times New Roman" w:cs="Times New Roman"/>
          <w:sz w:val="24"/>
          <w:szCs w:val="24"/>
        </w:rPr>
        <w:t xml:space="preserve">P-labeled 5′-UTRs from </w:t>
      </w:r>
      <w:r w:rsidRPr="0044586D">
        <w:rPr>
          <w:rFonts w:ascii="Times New Roman" w:hAnsi="Times New Roman" w:cs="Times New Roman"/>
          <w:b/>
          <w:sz w:val="24"/>
          <w:szCs w:val="24"/>
        </w:rPr>
        <w:t>(a)</w:t>
      </w:r>
      <w:r w:rsidRPr="00634489">
        <w:rPr>
          <w:rFonts w:ascii="Times New Roman" w:hAnsi="Times New Roman" w:cs="Times New Roman"/>
          <w:sz w:val="24"/>
          <w:szCs w:val="24"/>
        </w:rPr>
        <w:t xml:space="preserve"> </w:t>
      </w:r>
      <w:r w:rsidRPr="001F7F0C">
        <w:rPr>
          <w:rFonts w:ascii="Times New Roman" w:hAnsi="Times New Roman" w:cs="Times New Roman"/>
          <w:i/>
          <w:sz w:val="24"/>
          <w:szCs w:val="24"/>
        </w:rPr>
        <w:t>YDR177W</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(b)</w:t>
      </w:r>
      <w:r>
        <w:rPr>
          <w:rFonts w:ascii="Times New Roman" w:hAnsi="Times New Roman" w:cs="Times New Roman"/>
          <w:sz w:val="24"/>
          <w:szCs w:val="24"/>
        </w:rPr>
        <w:t xml:space="preserve"> </w:t>
      </w:r>
      <w:r w:rsidRPr="001F7F0C">
        <w:rPr>
          <w:rFonts w:ascii="Times New Roman" w:hAnsi="Times New Roman" w:cs="Times New Roman"/>
          <w:i/>
          <w:sz w:val="24"/>
          <w:szCs w:val="24"/>
        </w:rPr>
        <w:t>YDR495C</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(c)</w:t>
      </w:r>
      <w:r>
        <w:rPr>
          <w:rFonts w:ascii="Times New Roman" w:hAnsi="Times New Roman" w:cs="Times New Roman"/>
          <w:sz w:val="24"/>
          <w:szCs w:val="24"/>
        </w:rPr>
        <w:t xml:space="preserve"> </w:t>
      </w:r>
      <w:r w:rsidRPr="001F7F0C">
        <w:rPr>
          <w:rFonts w:ascii="Times New Roman" w:hAnsi="Times New Roman" w:cs="Times New Roman"/>
          <w:i/>
          <w:sz w:val="24"/>
          <w:szCs w:val="24"/>
        </w:rPr>
        <w:t>YNR034W−A</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(d)</w:t>
      </w:r>
      <w:r>
        <w:rPr>
          <w:rFonts w:ascii="Times New Roman" w:hAnsi="Times New Roman" w:cs="Times New Roman"/>
          <w:sz w:val="24"/>
          <w:szCs w:val="24"/>
        </w:rPr>
        <w:t xml:space="preserve"> </w:t>
      </w:r>
      <w:r w:rsidRPr="001F7F0C">
        <w:rPr>
          <w:rFonts w:ascii="Times New Roman" w:hAnsi="Times New Roman" w:cs="Times New Roman"/>
          <w:i/>
          <w:sz w:val="24"/>
          <w:szCs w:val="24"/>
        </w:rPr>
        <w:t>YBR255C−A</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 xml:space="preserve">(e) </w:t>
      </w:r>
      <w:r w:rsidRPr="001F7F0C">
        <w:rPr>
          <w:rFonts w:ascii="Times New Roman" w:hAnsi="Times New Roman" w:cs="Times New Roman"/>
          <w:i/>
          <w:sz w:val="24"/>
          <w:szCs w:val="24"/>
        </w:rPr>
        <w:t>YDL099W</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(f)</w:t>
      </w:r>
      <w:r>
        <w:rPr>
          <w:rFonts w:ascii="Times New Roman" w:hAnsi="Times New Roman" w:cs="Times New Roman"/>
          <w:sz w:val="24"/>
          <w:szCs w:val="24"/>
        </w:rPr>
        <w:t xml:space="preserve"> </w:t>
      </w:r>
      <w:r w:rsidRPr="001F7F0C">
        <w:rPr>
          <w:rFonts w:ascii="Times New Roman" w:hAnsi="Times New Roman" w:cs="Times New Roman"/>
          <w:i/>
          <w:sz w:val="24"/>
          <w:szCs w:val="24"/>
        </w:rPr>
        <w:t>YER143W</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 xml:space="preserve">(g) </w:t>
      </w:r>
      <w:r w:rsidRPr="001F7F0C">
        <w:rPr>
          <w:rFonts w:ascii="Times New Roman" w:hAnsi="Times New Roman" w:cs="Times New Roman"/>
          <w:i/>
          <w:sz w:val="24"/>
          <w:szCs w:val="24"/>
        </w:rPr>
        <w:t>YDR162C</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(h)</w:t>
      </w:r>
      <w:r>
        <w:rPr>
          <w:rFonts w:ascii="Times New Roman" w:hAnsi="Times New Roman" w:cs="Times New Roman"/>
          <w:sz w:val="24"/>
          <w:szCs w:val="24"/>
        </w:rPr>
        <w:t xml:space="preserve"> </w:t>
      </w:r>
      <w:r w:rsidRPr="001F7F0C">
        <w:rPr>
          <w:rFonts w:ascii="Times New Roman" w:hAnsi="Times New Roman" w:cs="Times New Roman"/>
          <w:i/>
          <w:sz w:val="24"/>
          <w:szCs w:val="24"/>
        </w:rPr>
        <w:t>YEL070W</w:t>
      </w:r>
      <w:r w:rsidRPr="00E61723">
        <w:rPr>
          <w:rFonts w:ascii="Times New Roman" w:hAnsi="Times New Roman" w:cs="Times New Roman"/>
          <w:sz w:val="24"/>
          <w:szCs w:val="24"/>
        </w:rPr>
        <w:t xml:space="preserve">, </w:t>
      </w:r>
      <w:r w:rsidRPr="0044586D">
        <w:rPr>
          <w:rFonts w:ascii="Times New Roman" w:hAnsi="Times New Roman" w:cs="Times New Roman"/>
          <w:b/>
          <w:sz w:val="24"/>
          <w:szCs w:val="24"/>
        </w:rPr>
        <w:t>(</w:t>
      </w:r>
      <w:proofErr w:type="spellStart"/>
      <w:r w:rsidRPr="0044586D">
        <w:rPr>
          <w:rFonts w:ascii="Times New Roman" w:hAnsi="Times New Roman" w:cs="Times New Roman"/>
          <w:b/>
          <w:sz w:val="24"/>
          <w:szCs w:val="24"/>
        </w:rPr>
        <w:t>i</w:t>
      </w:r>
      <w:proofErr w:type="spellEnd"/>
      <w:r w:rsidRPr="0044586D">
        <w:rPr>
          <w:rFonts w:ascii="Times New Roman" w:hAnsi="Times New Roman" w:cs="Times New Roman"/>
          <w:b/>
          <w:sz w:val="24"/>
          <w:szCs w:val="24"/>
        </w:rPr>
        <w:t>)</w:t>
      </w:r>
      <w:r>
        <w:rPr>
          <w:rFonts w:ascii="Times New Roman" w:hAnsi="Times New Roman" w:cs="Times New Roman"/>
          <w:sz w:val="24"/>
          <w:szCs w:val="24"/>
        </w:rPr>
        <w:t xml:space="preserve"> </w:t>
      </w:r>
      <w:r w:rsidRPr="001F7F0C">
        <w:rPr>
          <w:rFonts w:ascii="Times New Roman" w:hAnsi="Times New Roman" w:cs="Times New Roman"/>
          <w:i/>
          <w:sz w:val="24"/>
          <w:szCs w:val="24"/>
        </w:rPr>
        <w:t>YOR092W</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(j)</w:t>
      </w:r>
      <w:r>
        <w:rPr>
          <w:rFonts w:ascii="Times New Roman" w:hAnsi="Times New Roman" w:cs="Times New Roman"/>
          <w:sz w:val="24"/>
          <w:szCs w:val="24"/>
        </w:rPr>
        <w:t xml:space="preserve"> </w:t>
      </w:r>
      <w:r w:rsidRPr="001F7F0C">
        <w:rPr>
          <w:rFonts w:ascii="Times New Roman" w:hAnsi="Times New Roman" w:cs="Times New Roman"/>
          <w:i/>
          <w:sz w:val="24"/>
          <w:szCs w:val="24"/>
        </w:rPr>
        <w:t>YCR054C</w:t>
      </w:r>
      <w:r w:rsidRPr="00634489">
        <w:rPr>
          <w:rFonts w:ascii="Times New Roman" w:hAnsi="Times New Roman" w:cs="Times New Roman"/>
          <w:sz w:val="24"/>
          <w:szCs w:val="24"/>
        </w:rPr>
        <w:t xml:space="preserve">, </w:t>
      </w:r>
      <w:r w:rsidRPr="0044586D">
        <w:rPr>
          <w:rFonts w:ascii="Times New Roman" w:hAnsi="Times New Roman" w:cs="Times New Roman"/>
          <w:b/>
          <w:sz w:val="24"/>
          <w:szCs w:val="24"/>
        </w:rPr>
        <w:t>(k)</w:t>
      </w:r>
      <w:r>
        <w:rPr>
          <w:rFonts w:ascii="Times New Roman" w:hAnsi="Times New Roman" w:cs="Times New Roman"/>
          <w:sz w:val="24"/>
          <w:szCs w:val="24"/>
        </w:rPr>
        <w:t xml:space="preserve"> </w:t>
      </w:r>
      <w:r w:rsidRPr="001F7F0C">
        <w:rPr>
          <w:rFonts w:ascii="Times New Roman" w:hAnsi="Times New Roman" w:cs="Times New Roman"/>
          <w:i/>
          <w:sz w:val="24"/>
          <w:szCs w:val="24"/>
        </w:rPr>
        <w:t>YPR016C</w:t>
      </w:r>
      <w:r w:rsidRPr="00634489">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44586D">
        <w:rPr>
          <w:rFonts w:ascii="Times New Roman" w:hAnsi="Times New Roman" w:cs="Times New Roman"/>
          <w:b/>
          <w:sz w:val="24"/>
          <w:szCs w:val="24"/>
        </w:rPr>
        <w:t>(l)</w:t>
      </w:r>
      <w:r>
        <w:rPr>
          <w:rFonts w:ascii="Times New Roman" w:hAnsi="Times New Roman" w:cs="Times New Roman"/>
          <w:sz w:val="24"/>
          <w:szCs w:val="24"/>
        </w:rPr>
        <w:t xml:space="preserve"> </w:t>
      </w:r>
      <w:r w:rsidRPr="001F7F0C">
        <w:rPr>
          <w:rFonts w:ascii="Times New Roman" w:hAnsi="Times New Roman" w:cs="Times New Roman"/>
          <w:i/>
          <w:sz w:val="24"/>
          <w:szCs w:val="24"/>
        </w:rPr>
        <w:t>YER069W</w:t>
      </w:r>
      <w:r>
        <w:rPr>
          <w:rFonts w:ascii="Times New Roman" w:hAnsi="Times New Roman" w:cs="Times New Roman"/>
          <w:sz w:val="24"/>
          <w:szCs w:val="24"/>
        </w:rPr>
        <w:t xml:space="preserve">. </w:t>
      </w:r>
      <w:r w:rsidRPr="003E52DC">
        <w:rPr>
          <w:rFonts w:ascii="Times New Roman" w:hAnsi="Times New Roman" w:cs="Times New Roman"/>
          <w:sz w:val="24"/>
          <w:szCs w:val="24"/>
        </w:rPr>
        <w:t>5′</w:t>
      </w:r>
      <w:r>
        <w:rPr>
          <w:rFonts w:ascii="Times New Roman" w:hAnsi="Times New Roman" w:cs="Times New Roman"/>
          <w:sz w:val="24"/>
          <w:szCs w:val="24"/>
        </w:rPr>
        <w:t xml:space="preserve">-UTRs in </w:t>
      </w:r>
      <w:r w:rsidRPr="0044586D">
        <w:rPr>
          <w:rFonts w:ascii="Times New Roman" w:hAnsi="Times New Roman" w:cs="Times New Roman"/>
          <w:b/>
          <w:sz w:val="24"/>
          <w:szCs w:val="24"/>
        </w:rPr>
        <w:t xml:space="preserve">(a-g) </w:t>
      </w:r>
      <w:r>
        <w:rPr>
          <w:rFonts w:ascii="Times New Roman" w:hAnsi="Times New Roman" w:cs="Times New Roman"/>
          <w:sz w:val="24"/>
          <w:szCs w:val="24"/>
        </w:rPr>
        <w:t xml:space="preserve">represent binders in the RBNS assay (eIF3 enrichment &gt; 1.59) and </w:t>
      </w:r>
      <w:r w:rsidRPr="0044586D">
        <w:rPr>
          <w:rFonts w:ascii="Times New Roman" w:hAnsi="Times New Roman" w:cs="Times New Roman"/>
          <w:b/>
          <w:sz w:val="24"/>
          <w:szCs w:val="24"/>
        </w:rPr>
        <w:t>(h-l)</w:t>
      </w:r>
      <w:r>
        <w:rPr>
          <w:rFonts w:ascii="Times New Roman" w:hAnsi="Times New Roman" w:cs="Times New Roman"/>
          <w:sz w:val="24"/>
          <w:szCs w:val="24"/>
        </w:rPr>
        <w:t xml:space="preserve"> represent non-binders. Apparent dissociation constant calculated from non-linear regression using Hill’s equation in Origin is indicated together with the obtained eIF3 enrichment score.</w:t>
      </w:r>
    </w:p>
    <w:p w:rsidR="00934741" w:rsidRDefault="00934741" w:rsidP="00934741">
      <w:pPr>
        <w:spacing w:after="0"/>
        <w:rPr>
          <w:rFonts w:ascii="Times New Roman" w:hAnsi="Times New Roman" w:cs="Times New Roman"/>
          <w:b/>
          <w:sz w:val="24"/>
          <w:szCs w:val="24"/>
        </w:rPr>
      </w:pPr>
    </w:p>
    <w:p w:rsidR="00934741" w:rsidRDefault="00934741" w:rsidP="00934741">
      <w:pPr>
        <w:spacing w:after="0"/>
        <w:rPr>
          <w:rFonts w:ascii="Times New Roman" w:hAnsi="Times New Roman" w:cs="Times New Roman"/>
          <w:sz w:val="24"/>
          <w:szCs w:val="24"/>
        </w:rPr>
      </w:pPr>
      <w:r>
        <w:rPr>
          <w:rFonts w:ascii="Times New Roman" w:hAnsi="Times New Roman" w:cs="Times New Roman"/>
          <w:b/>
          <w:sz w:val="24"/>
          <w:szCs w:val="24"/>
        </w:rPr>
        <w:t xml:space="preserve">Figure S3: </w:t>
      </w:r>
      <w:r w:rsidRPr="009819D4">
        <w:rPr>
          <w:rFonts w:ascii="Times New Roman" w:hAnsi="Times New Roman" w:cs="Times New Roman"/>
          <w:b/>
          <w:sz w:val="24"/>
          <w:szCs w:val="24"/>
        </w:rPr>
        <w:t xml:space="preserve">eIF3 </w:t>
      </w:r>
      <w:r>
        <w:rPr>
          <w:rFonts w:ascii="Times New Roman" w:hAnsi="Times New Roman" w:cs="Times New Roman"/>
          <w:b/>
          <w:sz w:val="24"/>
          <w:szCs w:val="24"/>
        </w:rPr>
        <w:t xml:space="preserve">preferentially </w:t>
      </w:r>
      <w:r w:rsidRPr="009819D4">
        <w:rPr>
          <w:rFonts w:ascii="Times New Roman" w:hAnsi="Times New Roman" w:cs="Times New Roman"/>
          <w:b/>
          <w:sz w:val="24"/>
          <w:szCs w:val="24"/>
        </w:rPr>
        <w:t>recognizes AMAYAA motif</w:t>
      </w:r>
      <w:r>
        <w:rPr>
          <w:rFonts w:ascii="Times New Roman" w:hAnsi="Times New Roman" w:cs="Times New Roman"/>
          <w:b/>
          <w:sz w:val="24"/>
          <w:szCs w:val="24"/>
        </w:rPr>
        <w:t>s</w:t>
      </w:r>
      <w:r w:rsidRPr="009819D4">
        <w:rPr>
          <w:rFonts w:ascii="Times New Roman" w:hAnsi="Times New Roman" w:cs="Times New Roman"/>
          <w:b/>
          <w:sz w:val="24"/>
          <w:szCs w:val="24"/>
        </w:rPr>
        <w:t xml:space="preserve"> in unstructured regions.</w:t>
      </w:r>
      <w:r>
        <w:rPr>
          <w:rFonts w:ascii="Times New Roman" w:hAnsi="Times New Roman" w:cs="Times New Roman"/>
          <w:sz w:val="24"/>
          <w:szCs w:val="24"/>
        </w:rPr>
        <w:t xml:space="preserve"> Sequence motifs identified by </w:t>
      </w:r>
      <w:r w:rsidRPr="0065470C">
        <w:rPr>
          <w:rFonts w:ascii="Times New Roman" w:hAnsi="Times New Roman" w:cs="Times New Roman"/>
          <w:sz w:val="24"/>
          <w:szCs w:val="24"/>
        </w:rPr>
        <w:t xml:space="preserve">DREME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{"citationItems":[{"id":"ITEM-1","itemData":{"DOI":"10.1093/nar/gkv416","ISSN":"0305-1048","PMID":"25953851","abstract":"The MEME Suite is a powerful, integrated set of web-based tools for studying sequence motifs in proteins, DNA and RNA. Such motifs encode many biological functions, and their detection and characterization is important in the study of molecular interactions in the cell, including the regulation of gene expression. Since the previous description of the MEME Suite in the 2009 Nucleic Acids Research Web Server Issue, we have added six new tools. Here we describe the capabilities of all the tools within the suite, give advice on their best use and provide several case studies to illustrate how to combine the results of various MEME Suite tools for successful motif-based analyses. The MEME Suite is freely available for academic use at http://meme-suite.org, and source code is also available for download and local installation.","author":[{"dropping-particle":"","family":"Bailey","given":"Timothy L.","non-dropping-particle":"","parse-names":false,"suffix":""},{"dropping-particle":"","family":"Johnson","given":"James","non-dropping-particle":"","parse-names":false,"suffix":""},{"dropping-particle":"","family":"Grant","given":"Charles E.","non-dropping-particle":"","parse-names":false,"suffix":""},{"dropping-particle":"","family":"Noble","given":"William S.","non-dropping-particle":"","parse-names":false,"suffix":""}],"container-title":"Nucleic Acids Research","id":"ITEM-1","issue":"W1","issued":{"date-parts":[["2015","7","1"]]},"page":"W39-W49","title":"The MEME Suite","type":"article-journal","volume":"43"},"uris":["http://www.mendeley.com/documents/?uuid=44bcb172-2e83-3265-9bae-d14af72f96ac"]}],"mendeley":{"formattedCitation":"(Bailey et al., 2015)","plainTextFormattedCitation":"(Bailey et al., 2015)","previouslyFormattedCitation":"(Bailey et al., 2015)"},"properties":{"noteIndex":0},"schema":"https://github.com/citation-style-language/schema/raw/master/csl-citation.json"}</w:instrText>
      </w:r>
      <w:r>
        <w:rPr>
          <w:rFonts w:ascii="Times New Roman" w:hAnsi="Times New Roman" w:cs="Times New Roman"/>
          <w:sz w:val="24"/>
          <w:szCs w:val="24"/>
        </w:rPr>
        <w:fldChar w:fldCharType="separate"/>
      </w:r>
      <w:r w:rsidRPr="0065470C">
        <w:rPr>
          <w:rFonts w:ascii="Times New Roman" w:hAnsi="Times New Roman" w:cs="Times New Roman"/>
          <w:noProof/>
          <w:sz w:val="24"/>
          <w:szCs w:val="24"/>
        </w:rPr>
        <w:t>(Bailey et al., 2015)</w:t>
      </w:r>
      <w:r>
        <w:rPr>
          <w:rFonts w:ascii="Times New Roman" w:hAnsi="Times New Roman" w:cs="Times New Roman"/>
          <w:sz w:val="24"/>
          <w:szCs w:val="24"/>
        </w:rPr>
        <w:fldChar w:fldCharType="end"/>
      </w:r>
      <w:r w:rsidRPr="0065470C">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5054E6">
        <w:rPr>
          <w:rFonts w:ascii="Times New Roman" w:hAnsi="Times New Roman" w:cs="Times New Roman"/>
          <w:b/>
          <w:sz w:val="24"/>
          <w:szCs w:val="24"/>
        </w:rPr>
        <w:t>(a)</w:t>
      </w:r>
      <w:r>
        <w:rPr>
          <w:rFonts w:ascii="Times New Roman" w:hAnsi="Times New Roman" w:cs="Times New Roman"/>
          <w:sz w:val="24"/>
          <w:szCs w:val="24"/>
        </w:rPr>
        <w:t xml:space="preserve"> 55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w:t>
      </w:r>
      <w:r w:rsidRPr="005054E6">
        <w:rPr>
          <w:rFonts w:ascii="Times New Roman" w:hAnsi="Times New Roman" w:cs="Times New Roman"/>
          <w:b/>
          <w:sz w:val="24"/>
          <w:szCs w:val="24"/>
        </w:rPr>
        <w:t>(b)</w:t>
      </w:r>
      <w:r>
        <w:rPr>
          <w:rFonts w:ascii="Times New Roman" w:hAnsi="Times New Roman" w:cs="Times New Roman"/>
          <w:sz w:val="24"/>
          <w:szCs w:val="24"/>
        </w:rPr>
        <w:t xml:space="preserve"> 166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or </w:t>
      </w:r>
      <w:r w:rsidRPr="005054E6">
        <w:rPr>
          <w:rFonts w:ascii="Times New Roman" w:hAnsi="Times New Roman" w:cs="Times New Roman"/>
          <w:b/>
          <w:sz w:val="24"/>
          <w:szCs w:val="24"/>
        </w:rPr>
        <w:t>(c)</w:t>
      </w:r>
      <w:r>
        <w:rPr>
          <w:rFonts w:ascii="Times New Roman" w:hAnsi="Times New Roman" w:cs="Times New Roman"/>
          <w:sz w:val="24"/>
          <w:szCs w:val="24"/>
        </w:rPr>
        <w:t xml:space="preserve"> 500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as overrepresented among bound 5′-UTRs. E-value represent Fisher’s exact test p-value for a given motif multiplied by number of motifs tested. Only motifs with e-value &lt; 0.05 are shown. Distribution of observed enrichment in 166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library is shown for motifs </w:t>
      </w:r>
      <w:r w:rsidRPr="005054E6">
        <w:rPr>
          <w:rFonts w:ascii="Times New Roman" w:hAnsi="Times New Roman" w:cs="Times New Roman"/>
          <w:b/>
          <w:sz w:val="24"/>
          <w:szCs w:val="24"/>
        </w:rPr>
        <w:t>(d)</w:t>
      </w:r>
      <w:r>
        <w:rPr>
          <w:rFonts w:ascii="Times New Roman" w:hAnsi="Times New Roman" w:cs="Times New Roman"/>
          <w:sz w:val="24"/>
          <w:szCs w:val="24"/>
        </w:rPr>
        <w:t xml:space="preserve"> ASSAAM, </w:t>
      </w:r>
      <w:r w:rsidRPr="005054E6">
        <w:rPr>
          <w:rFonts w:ascii="Times New Roman" w:hAnsi="Times New Roman" w:cs="Times New Roman"/>
          <w:b/>
          <w:sz w:val="24"/>
          <w:szCs w:val="24"/>
        </w:rPr>
        <w:t>(e)</w:t>
      </w:r>
      <w:r>
        <w:rPr>
          <w:rFonts w:ascii="Times New Roman" w:hAnsi="Times New Roman" w:cs="Times New Roman"/>
          <w:sz w:val="24"/>
          <w:szCs w:val="24"/>
        </w:rPr>
        <w:t xml:space="preserve"> </w:t>
      </w:r>
      <w:r w:rsidRPr="00B259BC">
        <w:rPr>
          <w:rFonts w:ascii="Times New Roman" w:hAnsi="Times New Roman" w:cs="Times New Roman"/>
          <w:sz w:val="24"/>
          <w:szCs w:val="24"/>
        </w:rPr>
        <w:t xml:space="preserve">YAAYAA, </w:t>
      </w:r>
      <w:r w:rsidRPr="00B259BC">
        <w:rPr>
          <w:rFonts w:ascii="Times New Roman" w:hAnsi="Times New Roman" w:cs="Times New Roman"/>
          <w:b/>
          <w:sz w:val="24"/>
          <w:szCs w:val="24"/>
        </w:rPr>
        <w:t>(f)</w:t>
      </w:r>
      <w:r w:rsidRPr="00B259BC">
        <w:rPr>
          <w:rFonts w:ascii="Times New Roman" w:hAnsi="Times New Roman" w:cs="Times New Roman"/>
          <w:sz w:val="24"/>
          <w:szCs w:val="24"/>
        </w:rPr>
        <w:t xml:space="preserve"> TATAKA, </w:t>
      </w:r>
      <w:r w:rsidRPr="00B259BC">
        <w:rPr>
          <w:rFonts w:ascii="Times New Roman" w:hAnsi="Times New Roman" w:cs="Times New Roman"/>
          <w:b/>
          <w:sz w:val="24"/>
          <w:szCs w:val="24"/>
        </w:rPr>
        <w:t>(g)</w:t>
      </w:r>
      <w:r w:rsidRPr="00B259BC">
        <w:rPr>
          <w:rFonts w:ascii="Times New Roman" w:hAnsi="Times New Roman" w:cs="Times New Roman"/>
          <w:sz w:val="24"/>
          <w:szCs w:val="24"/>
        </w:rPr>
        <w:t xml:space="preserve"> ATAHTA, </w:t>
      </w:r>
      <w:r w:rsidRPr="00B259BC">
        <w:rPr>
          <w:rFonts w:ascii="Times New Roman" w:hAnsi="Times New Roman" w:cs="Times New Roman"/>
          <w:b/>
          <w:sz w:val="24"/>
          <w:szCs w:val="24"/>
        </w:rPr>
        <w:t>(h)</w:t>
      </w:r>
      <w:r w:rsidRPr="00B259BC">
        <w:rPr>
          <w:rFonts w:ascii="Times New Roman" w:hAnsi="Times New Roman" w:cs="Times New Roman"/>
          <w:sz w:val="24"/>
          <w:szCs w:val="24"/>
        </w:rPr>
        <w:t xml:space="preserve"> ATWTTAA, or </w:t>
      </w:r>
      <w:r w:rsidRPr="00B259BC">
        <w:rPr>
          <w:rFonts w:ascii="Times New Roman" w:hAnsi="Times New Roman" w:cs="Times New Roman"/>
          <w:b/>
          <w:sz w:val="24"/>
          <w:szCs w:val="24"/>
        </w:rPr>
        <w:t>(</w:t>
      </w:r>
      <w:proofErr w:type="spellStart"/>
      <w:r w:rsidRPr="00B259BC">
        <w:rPr>
          <w:rFonts w:ascii="Times New Roman" w:hAnsi="Times New Roman" w:cs="Times New Roman"/>
          <w:b/>
          <w:sz w:val="24"/>
          <w:szCs w:val="24"/>
        </w:rPr>
        <w:t>i</w:t>
      </w:r>
      <w:proofErr w:type="spellEnd"/>
      <w:r w:rsidRPr="00B259BC">
        <w:rPr>
          <w:rFonts w:ascii="Times New Roman" w:hAnsi="Times New Roman" w:cs="Times New Roman"/>
          <w:b/>
          <w:sz w:val="24"/>
          <w:szCs w:val="24"/>
        </w:rPr>
        <w:t>)</w:t>
      </w:r>
      <w:r w:rsidRPr="00B259BC">
        <w:rPr>
          <w:rFonts w:ascii="Times New Roman" w:hAnsi="Times New Roman" w:cs="Times New Roman"/>
          <w:sz w:val="24"/>
          <w:szCs w:val="24"/>
        </w:rPr>
        <w:t xml:space="preserve"> TCTWCMT</w:t>
      </w:r>
      <w:r w:rsidRPr="00B259BC">
        <w:rPr>
          <w:rFonts w:ascii="Times New Roman" w:hAnsi="Times New Roman" w:cs="Times New Roman"/>
          <w:b/>
          <w:sz w:val="24"/>
          <w:szCs w:val="24"/>
        </w:rPr>
        <w:t>(j)</w:t>
      </w:r>
      <w:r w:rsidRPr="00B259BC">
        <w:rPr>
          <w:rFonts w:ascii="Times New Roman" w:hAnsi="Times New Roman" w:cs="Times New Roman"/>
          <w:sz w:val="24"/>
          <w:szCs w:val="24"/>
        </w:rPr>
        <w:t xml:space="preserve"> eIF3 filter binding assay of YCR054C with one AMAYAA motif (grey) or two AMAYAA motifs (red). </w:t>
      </w:r>
      <w:proofErr w:type="spellStart"/>
      <w:r w:rsidRPr="00B259BC">
        <w:rPr>
          <w:rFonts w:ascii="Times New Roman" w:hAnsi="Times New Roman" w:cs="Times New Roman"/>
          <w:sz w:val="24"/>
          <w:szCs w:val="24"/>
        </w:rPr>
        <w:t>Kd</w:t>
      </w:r>
      <w:proofErr w:type="spellEnd"/>
      <w:r w:rsidRPr="00B259BC">
        <w:rPr>
          <w:rFonts w:ascii="Times New Roman" w:hAnsi="Times New Roman" w:cs="Times New Roman"/>
          <w:sz w:val="24"/>
          <w:szCs w:val="24"/>
        </w:rPr>
        <w:t xml:space="preserve"> is the best extrapolated estimate, assuming maximum fraction of bound RNA for both variants is equal.</w:t>
      </w:r>
    </w:p>
    <w:p w:rsidR="00934741" w:rsidRDefault="00934741" w:rsidP="00934741">
      <w:pPr>
        <w:spacing w:after="0"/>
        <w:rPr>
          <w:rFonts w:ascii="Times New Roman" w:hAnsi="Times New Roman" w:cs="Times New Roman"/>
          <w:sz w:val="24"/>
          <w:szCs w:val="24"/>
        </w:rPr>
      </w:pPr>
    </w:p>
    <w:p w:rsidR="00934741" w:rsidRDefault="00934741" w:rsidP="00934741">
      <w:pPr>
        <w:spacing w:after="0"/>
        <w:rPr>
          <w:rFonts w:ascii="Times New Roman" w:hAnsi="Times New Roman" w:cs="Times New Roman"/>
          <w:b/>
          <w:sz w:val="24"/>
          <w:szCs w:val="24"/>
        </w:rPr>
      </w:pPr>
      <w:r w:rsidRPr="00371F92">
        <w:rPr>
          <w:rFonts w:ascii="Times New Roman" w:hAnsi="Times New Roman" w:cs="Times New Roman"/>
          <w:b/>
          <w:sz w:val="24"/>
          <w:szCs w:val="24"/>
        </w:rPr>
        <w:t>Figure S4:</w:t>
      </w:r>
      <w:r>
        <w:rPr>
          <w:rFonts w:ascii="Times New Roman" w:hAnsi="Times New Roman" w:cs="Times New Roman"/>
          <w:sz w:val="24"/>
          <w:szCs w:val="24"/>
        </w:rPr>
        <w:t xml:space="preserve"> </w:t>
      </w:r>
      <w:r>
        <w:rPr>
          <w:rFonts w:ascii="Times New Roman" w:hAnsi="Times New Roman" w:cs="Times New Roman"/>
          <w:b/>
          <w:sz w:val="24"/>
          <w:szCs w:val="24"/>
        </w:rPr>
        <w:t xml:space="preserve">eIF3 binding and </w:t>
      </w:r>
      <w:r w:rsidRPr="009819D4">
        <w:rPr>
          <w:rFonts w:ascii="Times New Roman" w:hAnsi="Times New Roman" w:cs="Times New Roman"/>
          <w:b/>
          <w:sz w:val="24"/>
          <w:szCs w:val="24"/>
        </w:rPr>
        <w:t>AMAYAA motif</w:t>
      </w:r>
      <w:r>
        <w:rPr>
          <w:rFonts w:ascii="Times New Roman" w:hAnsi="Times New Roman" w:cs="Times New Roman"/>
          <w:b/>
          <w:sz w:val="24"/>
          <w:szCs w:val="24"/>
        </w:rPr>
        <w:t>s</w:t>
      </w:r>
      <w:r w:rsidRPr="009819D4">
        <w:rPr>
          <w:rFonts w:ascii="Times New Roman" w:hAnsi="Times New Roman" w:cs="Times New Roman"/>
          <w:b/>
          <w:sz w:val="24"/>
          <w:szCs w:val="24"/>
        </w:rPr>
        <w:t xml:space="preserve"> enhance </w:t>
      </w:r>
      <w:r>
        <w:rPr>
          <w:rFonts w:ascii="Times New Roman" w:hAnsi="Times New Roman" w:cs="Times New Roman"/>
          <w:b/>
          <w:sz w:val="24"/>
          <w:szCs w:val="24"/>
        </w:rPr>
        <w:t>ribosome recruitment in vivo</w:t>
      </w:r>
      <w:r w:rsidRPr="00371F92">
        <w:rPr>
          <w:rFonts w:ascii="Times New Roman" w:hAnsi="Times New Roman" w:cs="Times New Roman"/>
          <w:b/>
          <w:sz w:val="24"/>
          <w:szCs w:val="24"/>
        </w:rPr>
        <w:t xml:space="preserve"> a)</w:t>
      </w:r>
      <w:r>
        <w:rPr>
          <w:rFonts w:ascii="Times New Roman" w:hAnsi="Times New Roman" w:cs="Times New Roman"/>
          <w:sz w:val="24"/>
          <w:szCs w:val="24"/>
        </w:rPr>
        <w:t xml:space="preserve"> 5′-UTR isoforms from hundreds of genes show differential binding to eIF3. Differential eIF3 enrichment for short and long isoform is plotted together with Bonferroni corrected p-values (t-test). Significant differences </w:t>
      </w:r>
      <w:proofErr w:type="spellStart"/>
      <w:r>
        <w:rPr>
          <w:rFonts w:ascii="Times New Roman" w:hAnsi="Times New Roman" w:cs="Times New Roman"/>
          <w:sz w:val="24"/>
          <w:szCs w:val="24"/>
        </w:rPr>
        <w:t>p</w:t>
      </w:r>
      <w:r w:rsidRPr="00634489">
        <w:rPr>
          <w:rFonts w:ascii="Times New Roman" w:hAnsi="Times New Roman" w:cs="Times New Roman"/>
          <w:sz w:val="24"/>
          <w:szCs w:val="24"/>
          <w:vertAlign w:val="subscript"/>
        </w:rPr>
        <w:t>adj</w:t>
      </w:r>
      <w:proofErr w:type="spellEnd"/>
      <w:r>
        <w:rPr>
          <w:rFonts w:ascii="Times New Roman" w:hAnsi="Times New Roman" w:cs="Times New Roman"/>
          <w:sz w:val="24"/>
          <w:szCs w:val="24"/>
        </w:rPr>
        <w:t xml:space="preserve"> &lt; 0.05 are depicted in red. </w:t>
      </w:r>
      <w:r w:rsidRPr="00371F92">
        <w:rPr>
          <w:rFonts w:ascii="Times New Roman" w:hAnsi="Times New Roman" w:cs="Times New Roman"/>
          <w:b/>
          <w:sz w:val="24"/>
          <w:szCs w:val="24"/>
        </w:rPr>
        <w:t>b)</w:t>
      </w:r>
      <w:r>
        <w:rPr>
          <w:rFonts w:ascii="Times New Roman" w:hAnsi="Times New Roman" w:cs="Times New Roman"/>
          <w:sz w:val="24"/>
          <w:szCs w:val="24"/>
        </w:rPr>
        <w:t xml:space="preserve"> eIF3 enrichment in 55 and 500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libraries is correlated with ribosome densities. c) Translation activity of alternative </w:t>
      </w:r>
      <w:r w:rsidRPr="00697013">
        <w:rPr>
          <w:rFonts w:ascii="Times New Roman" w:hAnsi="Times New Roman" w:cs="Times New Roman"/>
          <w:sz w:val="24"/>
          <w:szCs w:val="24"/>
        </w:rPr>
        <w:t>5′-UTR</w:t>
      </w:r>
      <w:r>
        <w:rPr>
          <w:rFonts w:ascii="Times New Roman" w:hAnsi="Times New Roman" w:cs="Times New Roman"/>
          <w:sz w:val="24"/>
          <w:szCs w:val="24"/>
        </w:rPr>
        <w:t xml:space="preserve"> isoforms with different numbers of AMAYAA motifs in </w:t>
      </w:r>
      <w:proofErr w:type="spellStart"/>
      <w:r>
        <w:rPr>
          <w:rFonts w:ascii="Times New Roman" w:hAnsi="Times New Roman" w:cs="Times New Roman"/>
          <w:sz w:val="24"/>
          <w:szCs w:val="24"/>
        </w:rPr>
        <w:t>unstarved</w:t>
      </w:r>
      <w:proofErr w:type="spellEnd"/>
      <w:r>
        <w:rPr>
          <w:rFonts w:ascii="Times New Roman" w:hAnsi="Times New Roman" w:cs="Times New Roman"/>
          <w:sz w:val="24"/>
          <w:szCs w:val="24"/>
        </w:rPr>
        <w:t xml:space="preserve"> conditions (left) and during glucose starvation (right). eIF3 binding is associated with increased ribosomal densities across </w:t>
      </w:r>
      <w:r>
        <w:rPr>
          <w:rFonts w:ascii="Times New Roman" w:hAnsi="Times New Roman" w:cs="Times New Roman"/>
          <w:sz w:val="24"/>
          <w:szCs w:val="24"/>
        </w:rPr>
        <w:lastRenderedPageBreak/>
        <w:t xml:space="preserve">multiple datasets in </w:t>
      </w:r>
      <w:r w:rsidRPr="00371F92">
        <w:rPr>
          <w:rFonts w:ascii="Times New Roman" w:hAnsi="Times New Roman" w:cs="Times New Roman"/>
          <w:b/>
          <w:sz w:val="24"/>
          <w:szCs w:val="24"/>
        </w:rPr>
        <w:t>(</w:t>
      </w:r>
      <w:r>
        <w:rPr>
          <w:rFonts w:ascii="Times New Roman" w:hAnsi="Times New Roman" w:cs="Times New Roman"/>
          <w:b/>
          <w:sz w:val="24"/>
          <w:szCs w:val="24"/>
        </w:rPr>
        <w:t>d</w:t>
      </w:r>
      <w:r w:rsidRPr="00371F92">
        <w:rPr>
          <w:rFonts w:ascii="Times New Roman" w:hAnsi="Times New Roman" w:cs="Times New Roman"/>
          <w:b/>
          <w:sz w:val="24"/>
          <w:szCs w:val="24"/>
        </w:rPr>
        <w:t>)</w:t>
      </w:r>
      <w:r>
        <w:rPr>
          <w:rFonts w:ascii="Times New Roman" w:hAnsi="Times New Roman" w:cs="Times New Roman"/>
          <w:sz w:val="24"/>
          <w:szCs w:val="24"/>
        </w:rPr>
        <w:t xml:space="preserve"> wild type or pseudo-wild type and in </w:t>
      </w:r>
      <w:r w:rsidRPr="00371F92">
        <w:rPr>
          <w:rFonts w:ascii="Times New Roman" w:hAnsi="Times New Roman" w:cs="Times New Roman"/>
          <w:b/>
          <w:sz w:val="24"/>
          <w:szCs w:val="24"/>
        </w:rPr>
        <w:t>(</w:t>
      </w:r>
      <w:r>
        <w:rPr>
          <w:rFonts w:ascii="Times New Roman" w:hAnsi="Times New Roman" w:cs="Times New Roman"/>
          <w:b/>
          <w:sz w:val="24"/>
          <w:szCs w:val="24"/>
        </w:rPr>
        <w:t>g</w:t>
      </w:r>
      <w:r w:rsidRPr="00371F92">
        <w:rPr>
          <w:rFonts w:ascii="Times New Roman" w:hAnsi="Times New Roman" w:cs="Times New Roman"/>
          <w:b/>
          <w:sz w:val="24"/>
          <w:szCs w:val="24"/>
        </w:rPr>
        <w:t xml:space="preserve">) </w:t>
      </w:r>
      <w:r>
        <w:rPr>
          <w:rFonts w:ascii="Times New Roman" w:hAnsi="Times New Roman" w:cs="Times New Roman"/>
          <w:sz w:val="24"/>
          <w:szCs w:val="24"/>
        </w:rPr>
        <w:t xml:space="preserve">eIF3 DDKK mutant cells. eIF3 depletion leads to &gt; 80 % decrease in translation in </w:t>
      </w:r>
      <w:r w:rsidRPr="00371F92">
        <w:rPr>
          <w:rFonts w:ascii="Times New Roman" w:hAnsi="Times New Roman" w:cs="Times New Roman"/>
          <w:b/>
          <w:sz w:val="24"/>
          <w:szCs w:val="24"/>
        </w:rPr>
        <w:t>(</w:t>
      </w:r>
      <w:r>
        <w:rPr>
          <w:rFonts w:ascii="Times New Roman" w:hAnsi="Times New Roman" w:cs="Times New Roman"/>
          <w:b/>
          <w:sz w:val="24"/>
          <w:szCs w:val="24"/>
        </w:rPr>
        <w:t>e</w:t>
      </w:r>
      <w:r w:rsidRPr="00371F92">
        <w:rPr>
          <w:rFonts w:ascii="Times New Roman" w:hAnsi="Times New Roman" w:cs="Times New Roman"/>
          <w:b/>
          <w:sz w:val="24"/>
          <w:szCs w:val="24"/>
        </w:rPr>
        <w:t>)</w:t>
      </w:r>
      <w:r>
        <w:rPr>
          <w:rFonts w:ascii="Times New Roman" w:hAnsi="Times New Roman" w:cs="Times New Roman"/>
          <w:sz w:val="24"/>
          <w:szCs w:val="24"/>
        </w:rPr>
        <w:t xml:space="preserve"> eIF3 degron or </w:t>
      </w:r>
      <w:r w:rsidRPr="00371F92">
        <w:rPr>
          <w:rFonts w:ascii="Times New Roman" w:hAnsi="Times New Roman" w:cs="Times New Roman"/>
          <w:b/>
          <w:sz w:val="24"/>
          <w:szCs w:val="24"/>
        </w:rPr>
        <w:t>(</w:t>
      </w:r>
      <w:r>
        <w:rPr>
          <w:rFonts w:ascii="Times New Roman" w:hAnsi="Times New Roman" w:cs="Times New Roman"/>
          <w:b/>
          <w:sz w:val="24"/>
          <w:szCs w:val="24"/>
        </w:rPr>
        <w:t>f</w:t>
      </w:r>
      <w:r w:rsidRPr="00371F92">
        <w:rPr>
          <w:rFonts w:ascii="Times New Roman" w:hAnsi="Times New Roman" w:cs="Times New Roman"/>
          <w:b/>
          <w:sz w:val="24"/>
          <w:szCs w:val="24"/>
        </w:rPr>
        <w:t>)</w:t>
      </w:r>
      <w:r>
        <w:rPr>
          <w:rFonts w:ascii="Times New Roman" w:hAnsi="Times New Roman" w:cs="Times New Roman"/>
          <w:sz w:val="24"/>
          <w:szCs w:val="24"/>
        </w:rPr>
        <w:t xml:space="preserve"> DDKK mutant cells as estimated from the change of polysome/monosome (P/M) ratio. </w:t>
      </w:r>
      <w:r w:rsidRPr="00371F92">
        <w:rPr>
          <w:rFonts w:ascii="Times New Roman" w:hAnsi="Times New Roman" w:cs="Times New Roman"/>
          <w:b/>
          <w:sz w:val="24"/>
          <w:szCs w:val="24"/>
        </w:rPr>
        <w:t>(</w:t>
      </w:r>
      <w:r>
        <w:rPr>
          <w:rFonts w:ascii="Times New Roman" w:hAnsi="Times New Roman" w:cs="Times New Roman"/>
          <w:b/>
          <w:sz w:val="24"/>
          <w:szCs w:val="24"/>
        </w:rPr>
        <w:t>h</w:t>
      </w:r>
      <w:r w:rsidRPr="00371F92">
        <w:rPr>
          <w:rFonts w:ascii="Times New Roman" w:hAnsi="Times New Roman" w:cs="Times New Roman"/>
          <w:b/>
          <w:sz w:val="24"/>
          <w:szCs w:val="24"/>
        </w:rPr>
        <w:t>)</w:t>
      </w:r>
      <w:r>
        <w:rPr>
          <w:rFonts w:ascii="Times New Roman" w:hAnsi="Times New Roman" w:cs="Times New Roman"/>
          <w:sz w:val="24"/>
          <w:szCs w:val="24"/>
        </w:rPr>
        <w:t xml:space="preserve"> The AMAYAA motif is associated with increased ribosome density in 5′-UTRs without </w:t>
      </w:r>
      <w:proofErr w:type="spellStart"/>
      <w:r>
        <w:rPr>
          <w:rFonts w:ascii="Times New Roman" w:hAnsi="Times New Roman" w:cs="Times New Roman"/>
          <w:sz w:val="24"/>
          <w:szCs w:val="24"/>
        </w:rPr>
        <w:t>uORFs</w:t>
      </w:r>
      <w:proofErr w:type="spellEnd"/>
      <w:r>
        <w:rPr>
          <w:rFonts w:ascii="Times New Roman" w:hAnsi="Times New Roman" w:cs="Times New Roman"/>
          <w:sz w:val="24"/>
          <w:szCs w:val="24"/>
        </w:rPr>
        <w:t xml:space="preserve">. In 5′-UTRs with multiple </w:t>
      </w:r>
      <w:proofErr w:type="spellStart"/>
      <w:r>
        <w:rPr>
          <w:rFonts w:ascii="Times New Roman" w:hAnsi="Times New Roman" w:cs="Times New Roman"/>
          <w:sz w:val="24"/>
          <w:szCs w:val="24"/>
        </w:rPr>
        <w:t>uORFs</w:t>
      </w:r>
      <w:proofErr w:type="spellEnd"/>
      <w:r>
        <w:rPr>
          <w:rFonts w:ascii="Times New Roman" w:hAnsi="Times New Roman" w:cs="Times New Roman"/>
          <w:sz w:val="24"/>
          <w:szCs w:val="24"/>
        </w:rPr>
        <w:t xml:space="preserve">, the AMAYAA motif is associated with decreased ribosome density. </w:t>
      </w:r>
      <w:r w:rsidRPr="00371F92">
        <w:rPr>
          <w:rFonts w:ascii="Times New Roman" w:hAnsi="Times New Roman" w:cs="Times New Roman"/>
          <w:b/>
          <w:sz w:val="24"/>
          <w:szCs w:val="24"/>
        </w:rPr>
        <w:t xml:space="preserve">b, </w:t>
      </w:r>
      <w:r>
        <w:rPr>
          <w:rFonts w:ascii="Times New Roman" w:hAnsi="Times New Roman" w:cs="Times New Roman"/>
          <w:b/>
          <w:sz w:val="24"/>
          <w:szCs w:val="24"/>
        </w:rPr>
        <w:t>d</w:t>
      </w:r>
      <w:r w:rsidRPr="00371F92">
        <w:rPr>
          <w:rFonts w:ascii="Times New Roman" w:hAnsi="Times New Roman" w:cs="Times New Roman"/>
          <w:b/>
          <w:sz w:val="24"/>
          <w:szCs w:val="24"/>
        </w:rPr>
        <w:t xml:space="preserve">, </w:t>
      </w:r>
      <w:r>
        <w:rPr>
          <w:rFonts w:ascii="Times New Roman" w:hAnsi="Times New Roman" w:cs="Times New Roman"/>
          <w:b/>
          <w:sz w:val="24"/>
          <w:szCs w:val="24"/>
        </w:rPr>
        <w:t>g</w:t>
      </w:r>
      <w:r w:rsidRPr="00371F92">
        <w:rPr>
          <w:rFonts w:ascii="Times New Roman" w:hAnsi="Times New Roman" w:cs="Times New Roman"/>
          <w:b/>
          <w:sz w:val="24"/>
          <w:szCs w:val="24"/>
        </w:rPr>
        <w:t xml:space="preserve">, </w:t>
      </w:r>
      <w:r>
        <w:rPr>
          <w:rFonts w:ascii="Times New Roman" w:hAnsi="Times New Roman" w:cs="Times New Roman"/>
          <w:b/>
          <w:sz w:val="24"/>
          <w:szCs w:val="24"/>
        </w:rPr>
        <w:t>h</w:t>
      </w:r>
      <w:r w:rsidRPr="00371F92">
        <w:rPr>
          <w:rFonts w:ascii="Times New Roman" w:hAnsi="Times New Roman" w:cs="Times New Roman"/>
          <w:b/>
          <w:sz w:val="24"/>
          <w:szCs w:val="24"/>
        </w:rPr>
        <w:t>)</w:t>
      </w:r>
      <w:r>
        <w:rPr>
          <w:rFonts w:ascii="Times New Roman" w:hAnsi="Times New Roman" w:cs="Times New Roman"/>
          <w:sz w:val="24"/>
          <w:szCs w:val="24"/>
        </w:rPr>
        <w:t xml:space="preserve"> Depicted are the log</w:t>
      </w:r>
      <w:r w:rsidRPr="00634489">
        <w:rPr>
          <w:rFonts w:ascii="Times New Roman" w:hAnsi="Times New Roman" w:cs="Times New Roman"/>
          <w:sz w:val="24"/>
          <w:szCs w:val="24"/>
          <w:vertAlign w:val="subscript"/>
        </w:rPr>
        <w:t>2</w:t>
      </w:r>
      <w:r>
        <w:rPr>
          <w:rFonts w:ascii="Times New Roman" w:hAnsi="Times New Roman" w:cs="Times New Roman"/>
          <w:sz w:val="24"/>
          <w:szCs w:val="24"/>
        </w:rPr>
        <w:t>-transformed values of ribosome densities.</w:t>
      </w:r>
    </w:p>
    <w:p w:rsidR="00100163" w:rsidRDefault="00100163"/>
    <w:sectPr w:rsidR="00100163"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41"/>
    <w:rsid w:val="00100163"/>
    <w:rsid w:val="004638E4"/>
    <w:rsid w:val="00477248"/>
    <w:rsid w:val="00934741"/>
    <w:rsid w:val="009E1909"/>
    <w:rsid w:val="00B2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E9C92A2-DBF1-7A42-A5FC-E41B1F98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41"/>
    <w:pPr>
      <w:spacing w:after="200" w:line="276" w:lineRule="auto"/>
    </w:pPr>
    <w:rPr>
      <w:rFonts w:eastAsiaTheme="minorEastAsia"/>
      <w:kern w:val="0"/>
      <w:sz w:val="22"/>
      <w:szCs w:val="22"/>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2024-12-03T14:58:00Z</dcterms:created>
  <dcterms:modified xsi:type="dcterms:W3CDTF">2024-12-03T14:59:00Z</dcterms:modified>
</cp:coreProperties>
</file>