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3AEA" w:rsidRPr="00B63663" w:rsidRDefault="00E93AEA" w:rsidP="00E93AEA">
      <w:pPr>
        <w:rPr>
          <w:rFonts w:ascii="Segoe UI" w:hAnsi="Segoe UI"/>
          <w:sz w:val="18"/>
          <w:szCs w:val="18"/>
        </w:rPr>
      </w:pPr>
      <w:r w:rsidRPr="00B63663">
        <w:rPr>
          <w:rFonts w:ascii="Segoe UI" w:hAnsi="Segoe UI"/>
          <w:b/>
          <w:bCs/>
          <w:sz w:val="18"/>
          <w:szCs w:val="18"/>
        </w:rPr>
        <w:t xml:space="preserve">Figure S1: Cartoon model of PRP40 domains in the context of the yeast E complex. </w:t>
      </w:r>
      <w:proofErr w:type="spellStart"/>
      <w:r w:rsidRPr="00B63663">
        <w:rPr>
          <w:rFonts w:ascii="Segoe UI" w:hAnsi="Segoe UI"/>
          <w:sz w:val="18"/>
          <w:szCs w:val="18"/>
        </w:rPr>
        <w:t>CryoEM</w:t>
      </w:r>
      <w:proofErr w:type="spellEnd"/>
      <w:r w:rsidRPr="00B63663">
        <w:rPr>
          <w:rFonts w:ascii="Segoe UI" w:hAnsi="Segoe UI"/>
          <w:sz w:val="18"/>
          <w:szCs w:val="18"/>
        </w:rPr>
        <w:t xml:space="preserve"> structure of the E complex, modeled after Li </w:t>
      </w:r>
      <w:r w:rsidRPr="00B63663">
        <w:rPr>
          <w:rFonts w:ascii="Segoe UI" w:hAnsi="Segoe UI"/>
          <w:i/>
          <w:iCs/>
          <w:sz w:val="18"/>
          <w:szCs w:val="18"/>
        </w:rPr>
        <w:t>et al.</w:t>
      </w:r>
      <w:r w:rsidRPr="00B63663">
        <w:rPr>
          <w:rFonts w:ascii="Segoe UI" w:hAnsi="Segoe UI"/>
          <w:sz w:val="18"/>
          <w:szCs w:val="18"/>
        </w:rPr>
        <w:t xml:space="preserve"> 2019. PRP40 (in blue, with orange WW and FF domains), LUC7 (red), 70K (green), and BBP (green, mammalian homologue of SF1) are modeled, as well as the mRNA (dotted black line).</w:t>
      </w:r>
    </w:p>
    <w:p w:rsidR="00E93AEA" w:rsidRPr="00B63663" w:rsidRDefault="00E93AEA" w:rsidP="00E93AEA">
      <w:pPr>
        <w:rPr>
          <w:rFonts w:ascii="Segoe UI" w:hAnsi="Segoe UI"/>
          <w:b/>
          <w:bCs/>
          <w:sz w:val="18"/>
          <w:szCs w:val="18"/>
        </w:rPr>
      </w:pPr>
    </w:p>
    <w:p w:rsidR="00E93AEA" w:rsidRDefault="00E93AEA" w:rsidP="00E93AEA">
      <w:pPr>
        <w:rPr>
          <w:rFonts w:ascii="Segoe UI" w:hAnsi="Segoe UI"/>
          <w:sz w:val="18"/>
          <w:szCs w:val="18"/>
        </w:rPr>
      </w:pPr>
      <w:r w:rsidRPr="00B63663">
        <w:rPr>
          <w:rFonts w:ascii="Segoe UI" w:hAnsi="Segoe UI"/>
          <w:b/>
          <w:bCs/>
          <w:sz w:val="18"/>
          <w:szCs w:val="18"/>
        </w:rPr>
        <w:t xml:space="preserve">Figure S2: </w:t>
      </w:r>
      <w:proofErr w:type="spellStart"/>
      <w:r w:rsidRPr="00B63663">
        <w:rPr>
          <w:rFonts w:ascii="Segoe UI" w:hAnsi="Segoe UI"/>
          <w:b/>
          <w:bCs/>
          <w:sz w:val="18"/>
          <w:szCs w:val="18"/>
        </w:rPr>
        <w:t>Microexon</w:t>
      </w:r>
      <w:proofErr w:type="spellEnd"/>
      <w:r w:rsidRPr="00B63663">
        <w:rPr>
          <w:rFonts w:ascii="Segoe UI" w:hAnsi="Segoe UI"/>
          <w:b/>
          <w:bCs/>
          <w:sz w:val="18"/>
          <w:szCs w:val="18"/>
        </w:rPr>
        <w:t xml:space="preserve"> regulation by </w:t>
      </w:r>
      <w:r w:rsidRPr="00B63663">
        <w:rPr>
          <w:rFonts w:ascii="Segoe UI" w:hAnsi="Segoe UI"/>
          <w:b/>
          <w:bCs/>
          <w:i/>
          <w:iCs/>
          <w:sz w:val="18"/>
          <w:szCs w:val="18"/>
        </w:rPr>
        <w:t xml:space="preserve">Prpf40a </w:t>
      </w:r>
      <w:r w:rsidRPr="00B63663">
        <w:rPr>
          <w:rFonts w:ascii="Segoe UI" w:hAnsi="Segoe UI"/>
          <w:b/>
          <w:bCs/>
          <w:sz w:val="18"/>
          <w:szCs w:val="18"/>
        </w:rPr>
        <w:t xml:space="preserve">and </w:t>
      </w:r>
      <w:r w:rsidRPr="00B63663">
        <w:rPr>
          <w:rFonts w:ascii="Segoe UI" w:hAnsi="Segoe UI"/>
          <w:b/>
          <w:bCs/>
          <w:i/>
          <w:iCs/>
          <w:sz w:val="18"/>
          <w:szCs w:val="18"/>
        </w:rPr>
        <w:t>Srrm4</w:t>
      </w:r>
      <w:r w:rsidRPr="00B63663">
        <w:rPr>
          <w:rFonts w:ascii="Segoe UI" w:hAnsi="Segoe UI"/>
          <w:b/>
          <w:bCs/>
          <w:sz w:val="18"/>
          <w:szCs w:val="18"/>
        </w:rPr>
        <w:t xml:space="preserve">. </w:t>
      </w:r>
      <w:r w:rsidRPr="00B63663">
        <w:rPr>
          <w:rFonts w:ascii="Segoe UI" w:hAnsi="Segoe UI"/>
          <w:sz w:val="18"/>
          <w:szCs w:val="18"/>
        </w:rPr>
        <w:t xml:space="preserve">(A-B) Comparison of exon </w:t>
      </w:r>
      <w:r w:rsidRPr="00B63663">
        <w:rPr>
          <w:rFonts w:ascii="Segoe UI" w:hAnsi="Segoe UI"/>
          <w:sz w:val="18"/>
          <w:szCs w:val="18"/>
          <w:lang w:val="el-GR"/>
        </w:rPr>
        <w:t>Δ</w:t>
      </w:r>
      <w:r w:rsidRPr="00B63663">
        <w:rPr>
          <w:rFonts w:ascii="Segoe UI" w:hAnsi="Segoe UI"/>
          <w:sz w:val="18"/>
          <w:szCs w:val="18"/>
        </w:rPr>
        <w:t xml:space="preserve">PSIs upon </w:t>
      </w:r>
      <w:r w:rsidRPr="00B63663">
        <w:rPr>
          <w:rFonts w:ascii="Segoe UI" w:hAnsi="Segoe UI"/>
          <w:i/>
          <w:iCs/>
          <w:sz w:val="18"/>
          <w:szCs w:val="18"/>
        </w:rPr>
        <w:t xml:space="preserve">Prpf40a </w:t>
      </w:r>
      <w:r w:rsidRPr="00B63663">
        <w:rPr>
          <w:rFonts w:ascii="Segoe UI" w:hAnsi="Segoe UI"/>
          <w:sz w:val="18"/>
          <w:szCs w:val="18"/>
        </w:rPr>
        <w:t xml:space="preserve">KD when considering either all alternative exons (A) or only “highly alternatively spliced under control conditions” exons (B), as defined by exons that are between 30-70% spliced in control N2a cells. This is a control to address the alternative hypothesis that </w:t>
      </w:r>
      <w:r w:rsidRPr="00B63663">
        <w:rPr>
          <w:rFonts w:ascii="Segoe UI" w:hAnsi="Segoe UI"/>
          <w:i/>
          <w:iCs/>
          <w:sz w:val="18"/>
          <w:szCs w:val="18"/>
        </w:rPr>
        <w:t xml:space="preserve">Prpf40a </w:t>
      </w:r>
      <w:r w:rsidRPr="00B63663">
        <w:rPr>
          <w:rFonts w:ascii="Segoe UI" w:hAnsi="Segoe UI"/>
          <w:sz w:val="18"/>
          <w:szCs w:val="18"/>
        </w:rPr>
        <w:t xml:space="preserve">is simply required for alternatively-spliced exons, and </w:t>
      </w:r>
      <w:proofErr w:type="spellStart"/>
      <w:r w:rsidRPr="00B63663">
        <w:rPr>
          <w:rFonts w:ascii="Segoe UI" w:hAnsi="Segoe UI"/>
          <w:sz w:val="18"/>
          <w:szCs w:val="18"/>
        </w:rPr>
        <w:t>microexons</w:t>
      </w:r>
      <w:proofErr w:type="spellEnd"/>
      <w:r w:rsidRPr="00B63663">
        <w:rPr>
          <w:rFonts w:ascii="Segoe UI" w:hAnsi="Segoe UI"/>
          <w:sz w:val="18"/>
          <w:szCs w:val="18"/>
        </w:rPr>
        <w:t xml:space="preserve"> tend to be alternatively spliced. In contrast with this hypothesis, we find the same length-dependence when only considering alternatively-spliced exons. (C) Comparison of </w:t>
      </w:r>
      <w:proofErr w:type="spellStart"/>
      <w:r w:rsidRPr="00B63663">
        <w:rPr>
          <w:rFonts w:ascii="Segoe UI" w:hAnsi="Segoe UI"/>
          <w:sz w:val="18"/>
          <w:szCs w:val="18"/>
        </w:rPr>
        <w:t>microexon</w:t>
      </w:r>
      <w:proofErr w:type="spellEnd"/>
      <w:r w:rsidRPr="00B63663">
        <w:rPr>
          <w:rFonts w:ascii="Segoe UI" w:hAnsi="Segoe UI"/>
          <w:sz w:val="18"/>
          <w:szCs w:val="18"/>
        </w:rPr>
        <w:t xml:space="preserve"> </w:t>
      </w:r>
      <w:r w:rsidRPr="00B63663">
        <w:rPr>
          <w:rFonts w:ascii="Segoe UI" w:hAnsi="Segoe UI"/>
          <w:sz w:val="18"/>
          <w:szCs w:val="18"/>
          <w:lang w:val="el-GR"/>
        </w:rPr>
        <w:t>Δ</w:t>
      </w:r>
      <w:r w:rsidRPr="00B63663">
        <w:rPr>
          <w:rFonts w:ascii="Segoe UI" w:hAnsi="Segoe UI"/>
          <w:sz w:val="18"/>
          <w:szCs w:val="18"/>
        </w:rPr>
        <w:t xml:space="preserve">PSI for all </w:t>
      </w:r>
      <w:proofErr w:type="spellStart"/>
      <w:r w:rsidRPr="00B63663">
        <w:rPr>
          <w:rFonts w:ascii="Segoe UI" w:hAnsi="Segoe UI"/>
          <w:sz w:val="18"/>
          <w:szCs w:val="18"/>
        </w:rPr>
        <w:t>microexons</w:t>
      </w:r>
      <w:proofErr w:type="spellEnd"/>
      <w:r w:rsidRPr="00B63663">
        <w:rPr>
          <w:rFonts w:ascii="Segoe UI" w:hAnsi="Segoe UI"/>
          <w:sz w:val="18"/>
          <w:szCs w:val="18"/>
        </w:rPr>
        <w:t xml:space="preserve">, and for only those that preserve frame (triplets), testing the hypothesis that the </w:t>
      </w:r>
      <w:r w:rsidRPr="00B63663">
        <w:rPr>
          <w:rFonts w:ascii="Segoe UI" w:hAnsi="Segoe UI"/>
          <w:sz w:val="18"/>
          <w:szCs w:val="18"/>
          <w:lang w:val="el-GR"/>
        </w:rPr>
        <w:t>Δ</w:t>
      </w:r>
      <w:r w:rsidRPr="00B63663">
        <w:rPr>
          <w:rFonts w:ascii="Segoe UI" w:hAnsi="Segoe UI"/>
          <w:sz w:val="18"/>
          <w:szCs w:val="18"/>
        </w:rPr>
        <w:t xml:space="preserve">PSIs might be under-reporting the true changes, if masked by NMD degradation of alternatively spliced products. (D) FPKM measurements for each of the three tested RNA binding proteins in control N2a cells, showing that each is expressed at substantial levels. (E) Reciprocal analysis of fold-changes between </w:t>
      </w:r>
      <w:r w:rsidRPr="00B63663">
        <w:rPr>
          <w:rFonts w:ascii="Segoe UI" w:hAnsi="Segoe UI"/>
          <w:i/>
          <w:iCs/>
          <w:sz w:val="18"/>
          <w:szCs w:val="18"/>
        </w:rPr>
        <w:t xml:space="preserve">Prpf40a </w:t>
      </w:r>
      <w:r w:rsidRPr="00B63663">
        <w:rPr>
          <w:rFonts w:ascii="Segoe UI" w:hAnsi="Segoe UI"/>
          <w:sz w:val="18"/>
          <w:szCs w:val="18"/>
        </w:rPr>
        <w:t xml:space="preserve">and </w:t>
      </w:r>
      <w:r w:rsidRPr="00B63663">
        <w:rPr>
          <w:rFonts w:ascii="Segoe UI" w:hAnsi="Segoe UI"/>
          <w:i/>
          <w:iCs/>
          <w:sz w:val="18"/>
          <w:szCs w:val="18"/>
        </w:rPr>
        <w:t xml:space="preserve">Prpf40b </w:t>
      </w:r>
      <w:r w:rsidRPr="00B63663">
        <w:rPr>
          <w:rFonts w:ascii="Segoe UI" w:hAnsi="Segoe UI"/>
          <w:sz w:val="18"/>
          <w:szCs w:val="18"/>
        </w:rPr>
        <w:t xml:space="preserve">to test whether they cross-regulate each other. No significant differences are observed. (F) RT-PCR quantification confirming that PRPF40B knockdown does not affect </w:t>
      </w:r>
      <w:proofErr w:type="spellStart"/>
      <w:r w:rsidRPr="00B63663">
        <w:rPr>
          <w:rFonts w:ascii="Segoe UI" w:hAnsi="Segoe UI"/>
          <w:sz w:val="18"/>
          <w:szCs w:val="18"/>
        </w:rPr>
        <w:t>microexon</w:t>
      </w:r>
      <w:proofErr w:type="spellEnd"/>
      <w:r w:rsidRPr="00B63663">
        <w:rPr>
          <w:rFonts w:ascii="Segoe UI" w:hAnsi="Segoe UI"/>
          <w:sz w:val="18"/>
          <w:szCs w:val="18"/>
        </w:rPr>
        <w:t xml:space="preserve"> splicing, nor does it exacerbate </w:t>
      </w:r>
      <w:proofErr w:type="spellStart"/>
      <w:r w:rsidRPr="00B63663">
        <w:rPr>
          <w:rFonts w:ascii="Segoe UI" w:hAnsi="Segoe UI"/>
          <w:sz w:val="18"/>
          <w:szCs w:val="18"/>
        </w:rPr>
        <w:t>microexon</w:t>
      </w:r>
      <w:proofErr w:type="spellEnd"/>
      <w:r w:rsidRPr="00B63663">
        <w:rPr>
          <w:rFonts w:ascii="Segoe UI" w:hAnsi="Segoe UI"/>
          <w:sz w:val="18"/>
          <w:szCs w:val="18"/>
        </w:rPr>
        <w:t xml:space="preserve"> dysregulation when knocked down in conjunction with PRPF40A. (G) FPKM values for </w:t>
      </w:r>
      <w:r w:rsidRPr="00B63663">
        <w:rPr>
          <w:rFonts w:ascii="Segoe UI" w:hAnsi="Segoe UI"/>
          <w:i/>
          <w:iCs/>
          <w:sz w:val="18"/>
          <w:szCs w:val="18"/>
        </w:rPr>
        <w:t xml:space="preserve">Luc7l </w:t>
      </w:r>
      <w:r w:rsidRPr="00B63663">
        <w:rPr>
          <w:rFonts w:ascii="Segoe UI" w:hAnsi="Segoe UI"/>
          <w:sz w:val="18"/>
          <w:szCs w:val="18"/>
        </w:rPr>
        <w:t xml:space="preserve">RNA levels, showing that </w:t>
      </w:r>
      <w:r w:rsidRPr="00B63663">
        <w:rPr>
          <w:rFonts w:ascii="Segoe UI" w:hAnsi="Segoe UI"/>
          <w:i/>
          <w:iCs/>
          <w:sz w:val="18"/>
          <w:szCs w:val="18"/>
        </w:rPr>
        <w:t xml:space="preserve">Prpf40a </w:t>
      </w:r>
      <w:r w:rsidRPr="00B63663">
        <w:rPr>
          <w:rFonts w:ascii="Segoe UI" w:hAnsi="Segoe UI"/>
          <w:sz w:val="18"/>
          <w:szCs w:val="18"/>
        </w:rPr>
        <w:t xml:space="preserve">results in ~2-fold increase in transcript abundance, nicely corresponding with the ~2-fold increase in productive isoform alternative splicing. (H) “Handedness score” as defined by 5’ splice site presence of conserved upstream </w:t>
      </w:r>
      <w:proofErr w:type="spellStart"/>
      <w:r w:rsidRPr="00B63663">
        <w:rPr>
          <w:rFonts w:ascii="Segoe UI" w:hAnsi="Segoe UI"/>
          <w:sz w:val="18"/>
          <w:szCs w:val="18"/>
        </w:rPr>
        <w:t>exonic</w:t>
      </w:r>
      <w:proofErr w:type="spellEnd"/>
      <w:r w:rsidRPr="00B63663">
        <w:rPr>
          <w:rFonts w:ascii="Segoe UI" w:hAnsi="Segoe UI"/>
          <w:sz w:val="18"/>
          <w:szCs w:val="18"/>
        </w:rPr>
        <w:t xml:space="preserve"> bases (-3 through -1) compared to presence of downstream intronic bases (+4 through +6) do not strongly predict sensitivity of </w:t>
      </w:r>
      <w:proofErr w:type="spellStart"/>
      <w:r w:rsidRPr="00B63663">
        <w:rPr>
          <w:rFonts w:ascii="Segoe UI" w:hAnsi="Segoe UI"/>
          <w:sz w:val="18"/>
          <w:szCs w:val="18"/>
        </w:rPr>
        <w:t>microexons</w:t>
      </w:r>
      <w:proofErr w:type="spellEnd"/>
      <w:r w:rsidRPr="00B63663">
        <w:rPr>
          <w:rFonts w:ascii="Segoe UI" w:hAnsi="Segoe UI"/>
          <w:sz w:val="18"/>
          <w:szCs w:val="18"/>
        </w:rPr>
        <w:t xml:space="preserve"> to </w:t>
      </w:r>
      <w:r w:rsidRPr="00B63663">
        <w:rPr>
          <w:rFonts w:ascii="Segoe UI" w:hAnsi="Segoe UI"/>
          <w:i/>
          <w:iCs/>
          <w:sz w:val="18"/>
          <w:szCs w:val="18"/>
        </w:rPr>
        <w:t xml:space="preserve">Prpf40a </w:t>
      </w:r>
      <w:r w:rsidRPr="00B63663">
        <w:rPr>
          <w:rFonts w:ascii="Segoe UI" w:hAnsi="Segoe UI"/>
          <w:sz w:val="18"/>
          <w:szCs w:val="18"/>
        </w:rPr>
        <w:t>knockdown.</w:t>
      </w:r>
    </w:p>
    <w:p w:rsidR="001956FE" w:rsidRDefault="001956FE"/>
    <w:sectPr w:rsidR="001956FE" w:rsidSect="00E80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EA"/>
    <w:rsid w:val="001956FE"/>
    <w:rsid w:val="00560F1F"/>
    <w:rsid w:val="00DE2C4A"/>
    <w:rsid w:val="00E806F9"/>
    <w:rsid w:val="00E9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AFB2748-FEC3-AC45-8D31-AC8311EC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EA"/>
    <w:pPr>
      <w:suppressAutoHyphens/>
    </w:pPr>
    <w:rPr>
      <w:rFonts w:ascii="Liberation Serif" w:eastAsia="NSimSun" w:hAnsi="Liberation Serif" w:cs="Lucida Sans"/>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2024-10-10T14:55:00Z</dcterms:created>
  <dcterms:modified xsi:type="dcterms:W3CDTF">2024-10-10T14:56:00Z</dcterms:modified>
</cp:coreProperties>
</file>