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1E0B" w:rsidRDefault="00981E0B" w:rsidP="00981E0B">
      <w:pPr>
        <w:spacing w:before="120" w:after="120" w:line="240" w:lineRule="auto"/>
        <w:rPr>
          <w:rFonts w:ascii="Calibri" w:eastAsia="Calibri" w:hAnsi="Calibri" w:cs="Calibri"/>
        </w:rPr>
      </w:pPr>
      <w:r w:rsidRPr="00235BB1">
        <w:rPr>
          <w:rFonts w:ascii="Calibri" w:eastAsia="Calibri" w:hAnsi="Calibri" w:cs="Calibri"/>
          <w:b/>
          <w:bCs/>
        </w:rPr>
        <w:t xml:space="preserve">Figure S1: Low doses of emetine, but not </w:t>
      </w:r>
      <w:r>
        <w:rPr>
          <w:rFonts w:ascii="Calibri" w:eastAsia="Calibri" w:hAnsi="Calibri" w:cs="Calibri"/>
          <w:b/>
          <w:bCs/>
        </w:rPr>
        <w:t xml:space="preserve">short </w:t>
      </w:r>
      <w:r w:rsidRPr="00235BB1">
        <w:rPr>
          <w:rFonts w:ascii="Calibri" w:eastAsia="Calibri" w:hAnsi="Calibri" w:cs="Calibri"/>
          <w:b/>
          <w:bCs/>
        </w:rPr>
        <w:t>s</w:t>
      </w:r>
      <w:r w:rsidRPr="00235BB1">
        <w:rPr>
          <w:rFonts w:ascii="Calibri" w:eastAsia="Calibri" w:hAnsi="Calibri" w:cs="Calibri"/>
          <w:b/>
          <w:bCs/>
          <w:vertAlign w:val="superscript"/>
        </w:rPr>
        <w:t>4</w:t>
      </w:r>
      <w:r w:rsidRPr="00235BB1">
        <w:rPr>
          <w:rFonts w:ascii="Calibri" w:eastAsia="Calibri" w:hAnsi="Calibri" w:cs="Calibri"/>
          <w:b/>
          <w:bCs/>
        </w:rPr>
        <w:t>U</w:t>
      </w:r>
      <w:r>
        <w:rPr>
          <w:rFonts w:ascii="Calibri" w:eastAsia="Calibri" w:hAnsi="Calibri" w:cs="Calibri"/>
          <w:b/>
          <w:bCs/>
        </w:rPr>
        <w:t xml:space="preserve"> treatments</w:t>
      </w:r>
      <w:r w:rsidRPr="00235BB1">
        <w:rPr>
          <w:rFonts w:ascii="Calibri" w:eastAsia="Calibri" w:hAnsi="Calibri" w:cs="Calibri"/>
          <w:b/>
          <w:bCs/>
        </w:rPr>
        <w:t xml:space="preserve"> disrupt translation</w:t>
      </w:r>
      <w:r>
        <w:rPr>
          <w:rFonts w:ascii="Calibri" w:eastAsia="Calibri" w:hAnsi="Calibri" w:cs="Calibri"/>
        </w:rPr>
        <w:t>. A) Polysome traces obtained from cells treated with 500 µM s</w:t>
      </w:r>
      <w:r w:rsidRPr="00235BB1">
        <w:rPr>
          <w:rFonts w:ascii="Calibri" w:eastAsia="Calibri" w:hAnsi="Calibri" w:cs="Calibri"/>
          <w:vertAlign w:val="superscript"/>
        </w:rPr>
        <w:t>4</w:t>
      </w:r>
      <w:r>
        <w:rPr>
          <w:rFonts w:ascii="Calibri" w:eastAsia="Calibri" w:hAnsi="Calibri" w:cs="Calibri"/>
        </w:rPr>
        <w:t>U for an hour. A260 is shown on the y-axis and fractions are shown on the x-axis. B) Western blots using antibodies against ribosomal protein uS3 or against the collision sensor EDF1 do not show shift in EDF1 upon incubation of cells with s</w:t>
      </w:r>
      <w:r w:rsidRPr="00235BB1">
        <w:rPr>
          <w:rFonts w:ascii="Calibri" w:eastAsia="Calibri" w:hAnsi="Calibri" w:cs="Calibri"/>
          <w:vertAlign w:val="superscript"/>
        </w:rPr>
        <w:t>4</w:t>
      </w:r>
      <w:r>
        <w:rPr>
          <w:rFonts w:ascii="Calibri" w:eastAsia="Calibri" w:hAnsi="Calibri" w:cs="Calibri"/>
        </w:rPr>
        <w:t>U. C) Polysome traces obtained after sucrose gradient sedimentation of cells treated with emetine or left untreated for an hour. D) Western blots using antibodies against ribosomal protein uS3 or against the collision sensor EDF1 demonstrate a shift of the latter into the deeper fractions of the sucrose gradient upon emetine treatment. E) Bar graph showing the fraction of reads containing apparent T-to-C (top) or A-to-G (bottom) conversions after s</w:t>
      </w:r>
      <w:r w:rsidRPr="00235BB1">
        <w:rPr>
          <w:rFonts w:ascii="Calibri" w:eastAsia="Calibri" w:hAnsi="Calibri" w:cs="Calibri"/>
          <w:vertAlign w:val="superscript"/>
        </w:rPr>
        <w:t>4</w:t>
      </w:r>
      <w:r>
        <w:rPr>
          <w:rFonts w:ascii="Calibri" w:eastAsia="Calibri" w:hAnsi="Calibri" w:cs="Calibri"/>
        </w:rPr>
        <w:t xml:space="preserve">U and/or emetine. </w:t>
      </w:r>
    </w:p>
    <w:p w:rsidR="00981E0B" w:rsidRDefault="00981E0B" w:rsidP="00981E0B">
      <w:pPr>
        <w:spacing w:before="120" w:after="120" w:line="240" w:lineRule="auto"/>
        <w:rPr>
          <w:rFonts w:ascii="Calibri" w:eastAsia="Calibri" w:hAnsi="Calibri" w:cs="Calibri"/>
        </w:rPr>
      </w:pPr>
      <w:r w:rsidRPr="00235BB1">
        <w:rPr>
          <w:rFonts w:ascii="Calibri" w:eastAsia="Calibri" w:hAnsi="Calibri" w:cs="Calibri"/>
          <w:b/>
          <w:bCs/>
        </w:rPr>
        <w:t xml:space="preserve">Figure S2: Low doses of emetine stabilize select </w:t>
      </w:r>
      <w:r>
        <w:rPr>
          <w:rFonts w:ascii="Calibri" w:eastAsia="Calibri" w:hAnsi="Calibri" w:cs="Calibri"/>
          <w:b/>
          <w:bCs/>
        </w:rPr>
        <w:t xml:space="preserve">short-lived </w:t>
      </w:r>
      <w:r w:rsidRPr="00235BB1">
        <w:rPr>
          <w:rFonts w:ascii="Calibri" w:eastAsia="Calibri" w:hAnsi="Calibri" w:cs="Calibri"/>
          <w:b/>
          <w:bCs/>
        </w:rPr>
        <w:t xml:space="preserve">transcripts. </w:t>
      </w:r>
      <w:r>
        <w:rPr>
          <w:rFonts w:ascii="Calibri" w:eastAsia="Calibri" w:hAnsi="Calibri" w:cs="Calibri"/>
        </w:rPr>
        <w:t>A) RT-qPCR data from actinomycin D time course obtained using primers against mRNAs synthesized in response to emetine treatment (left) or against transcripts that remain unchanged upon emetine treatment (right). B) Violin plots from previously published RNA-seq data (Wu et al. 2019) from cells treated with actinomycin D for 1 (left), 3 (middle), or 6 hours (right) showing the log</w:t>
      </w:r>
      <w:r w:rsidRPr="00092660">
        <w:rPr>
          <w:rFonts w:ascii="Calibri" w:eastAsia="Calibri" w:hAnsi="Calibri" w:cs="Calibri"/>
          <w:vertAlign w:val="subscript"/>
        </w:rPr>
        <w:t>2</w:t>
      </w:r>
      <w:r>
        <w:rPr>
          <w:rFonts w:ascii="Calibri" w:eastAsia="Calibri" w:hAnsi="Calibri" w:cs="Calibri"/>
        </w:rPr>
        <w:t xml:space="preserve">(fold change) of actinomycin D compared to DMSO on the y-axis and the pertinent mRNA categories on the x-axis. C) Scatter plot showing the </w:t>
      </w:r>
      <w:proofErr w:type="spellStart"/>
      <w:r>
        <w:rPr>
          <w:rFonts w:ascii="Calibri" w:eastAsia="Calibri" w:hAnsi="Calibri" w:cs="Calibri"/>
        </w:rPr>
        <w:t>bakR</w:t>
      </w:r>
      <w:proofErr w:type="spellEnd"/>
      <w:r>
        <w:rPr>
          <w:rFonts w:ascii="Calibri" w:eastAsia="Calibri" w:hAnsi="Calibri" w:cs="Calibri"/>
        </w:rPr>
        <w:t xml:space="preserve">-calculated mechanism statistic score on the y-axis and the log(mean half-life) calculated from K562 cells </w:t>
      </w:r>
      <w:r>
        <w:rPr>
          <w:rFonts w:ascii="Calibri" w:eastAsia="Calibri" w:hAnsi="Calibri" w:cs="Calibri"/>
        </w:rPr>
        <w:fldChar w:fldCharType="begin"/>
      </w:r>
      <w:r>
        <w:rPr>
          <w:rFonts w:ascii="Calibri" w:eastAsia="Calibri" w:hAnsi="Calibri" w:cs="Calibri"/>
        </w:rPr>
        <w:instrText xml:space="preserve"> ADDIN ZOTERO_ITEM CSL_CITATION {"citationID":"ykQYxDTU","properties":{"formattedCitation":"(Schofield et al. 2018)","plainCitation":"(Schofield et al. 2018)","noteIndex":0},"citationItems":[{"id":17,"uris":["http://zotero.org/users/10332019/items/U22K3ZF8"],"itemData":{"id":17,"type":"article-journal","abstract":"TimeLapse-seq chemically recodes labeled s4U nucleosides to a cytidine derivative and monitors transcriptional dynamics.","container-title":"Nature Methods","DOI":"10.1038/nmeth.4582","ISSN":"1548-7105","issue":"3","journalAbbreviation":"Nat Methods","language":"en","license":"2018 Nature Publishing Group, a division of Macmillan Publishers Limited. All Rights Reserved.","note":"number: 3\npublisher: Nature Publishing Group","page":"221-225","source":"www.nature.com","title":"TimeLapse-seq: adding a temporal dimension to RNA sequencing through nucleoside recoding","title-short":"TimeLapse-seq","volume":"15","author":[{"family":"Schofield","given":"Jeremy A."},{"family":"Duffy","given":"Erin E."},{"family":"Kiefer","given":"Lea"},{"family":"Sullivan","given":"Meaghan C."},{"family":"Simon","given":"Matthew D."}],"issued":{"date-parts":[["2018",3]]}}}],"schema":"https://github.com/citation-style-language/schema/raw/master/csl-citation.json"} </w:instrText>
      </w:r>
      <w:r>
        <w:rPr>
          <w:rFonts w:ascii="Calibri" w:eastAsia="Calibri" w:hAnsi="Calibri" w:cs="Calibri"/>
        </w:rPr>
        <w:fldChar w:fldCharType="separate"/>
      </w:r>
      <w:r>
        <w:rPr>
          <w:rFonts w:ascii="Calibri" w:eastAsia="Calibri" w:hAnsi="Calibri" w:cs="Calibri"/>
          <w:noProof/>
        </w:rPr>
        <w:t>(Schofield et al. 2018)</w:t>
      </w:r>
      <w:r>
        <w:rPr>
          <w:rFonts w:ascii="Calibri" w:eastAsia="Calibri" w:hAnsi="Calibri" w:cs="Calibri"/>
        </w:rPr>
        <w:fldChar w:fldCharType="end"/>
      </w:r>
      <w:r>
        <w:rPr>
          <w:rFonts w:ascii="Calibri" w:eastAsia="Calibri" w:hAnsi="Calibri" w:cs="Calibri"/>
        </w:rPr>
        <w:t xml:space="preserve"> on the x-axis. </w:t>
      </w:r>
    </w:p>
    <w:p w:rsidR="00981E0B" w:rsidRPr="00BF570E" w:rsidRDefault="00981E0B" w:rsidP="00981E0B">
      <w:pPr>
        <w:spacing w:before="120" w:after="120" w:line="240" w:lineRule="auto"/>
        <w:rPr>
          <w:rFonts w:ascii="Calibri" w:eastAsia="Calibri" w:hAnsi="Calibri" w:cs="Calibri"/>
        </w:rPr>
      </w:pPr>
      <w:r w:rsidRPr="00235BB1">
        <w:rPr>
          <w:rFonts w:ascii="Calibri" w:eastAsia="Calibri" w:hAnsi="Calibri" w:cs="Calibri"/>
          <w:b/>
          <w:bCs/>
        </w:rPr>
        <w:t>Figure S</w:t>
      </w:r>
      <w:r>
        <w:rPr>
          <w:rFonts w:ascii="Calibri" w:eastAsia="Calibri" w:hAnsi="Calibri" w:cs="Calibri"/>
          <w:b/>
          <w:bCs/>
        </w:rPr>
        <w:t>3</w:t>
      </w:r>
      <w:r w:rsidRPr="00235BB1">
        <w:rPr>
          <w:rFonts w:ascii="Calibri" w:eastAsia="Calibri" w:hAnsi="Calibri" w:cs="Calibri"/>
          <w:b/>
          <w:bCs/>
        </w:rPr>
        <w:t>:</w:t>
      </w:r>
      <w:r>
        <w:rPr>
          <w:rFonts w:ascii="Calibri" w:eastAsia="Calibri" w:hAnsi="Calibri" w:cs="Calibri"/>
          <w:b/>
          <w:bCs/>
        </w:rPr>
        <w:t xml:space="preserve"> Codon optimality alone does not drive ESM stabilization. </w:t>
      </w:r>
      <w:r>
        <w:rPr>
          <w:rFonts w:ascii="Calibri" w:eastAsia="Calibri" w:hAnsi="Calibri" w:cs="Calibri"/>
        </w:rPr>
        <w:t>A) Codon enrichments scores for ESMs (top) and OSLs (bottom) are shown in the y-axis, while codons are shown on the x-axis. B) Western blots showing siRNA knock down efficiency for CNOT3 or CNOT4 with GAPDH as a loading control (left) and RT-qPCR data from knockdown samples using primers against three ESMs (right). C-D) Bar plot showing the log</w:t>
      </w:r>
      <w:r w:rsidRPr="000C5B5A">
        <w:rPr>
          <w:rFonts w:ascii="Calibri" w:eastAsia="Calibri" w:hAnsi="Calibri" w:cs="Calibri"/>
          <w:vertAlign w:val="subscript"/>
        </w:rPr>
        <w:t>2</w:t>
      </w:r>
      <w:r>
        <w:rPr>
          <w:rFonts w:ascii="Calibri" w:eastAsia="Calibri" w:hAnsi="Calibri" w:cs="Calibri"/>
        </w:rPr>
        <w:t xml:space="preserve">(fold change) (C) or the </w:t>
      </w:r>
      <w:proofErr w:type="gramStart"/>
      <w:r>
        <w:rPr>
          <w:rFonts w:ascii="Calibri" w:eastAsia="Calibri" w:hAnsi="Calibri" w:cs="Calibri"/>
        </w:rPr>
        <w:t>log(</w:t>
      </w:r>
      <w:proofErr w:type="gramEnd"/>
      <w:r>
        <w:rPr>
          <w:rFonts w:ascii="Calibri" w:eastAsia="Calibri" w:hAnsi="Calibri" w:cs="Calibri"/>
        </w:rPr>
        <w:t xml:space="preserve">mean half-life) (D) on the y-axis for transcripts in different categories outlined on the x-axis. The “subopt≥28” category represents mRNAs with a frequency of more than 28 codons per kb. </w:t>
      </w:r>
    </w:p>
    <w:p w:rsidR="00981E0B" w:rsidRDefault="00981E0B" w:rsidP="00981E0B">
      <w:pPr>
        <w:spacing w:before="120" w:after="120" w:line="240" w:lineRule="auto"/>
        <w:rPr>
          <w:rFonts w:ascii="Calibri" w:eastAsia="Calibri" w:hAnsi="Calibri" w:cs="Calibri"/>
        </w:rPr>
      </w:pPr>
      <w:r w:rsidRPr="00235BB1">
        <w:rPr>
          <w:rFonts w:ascii="Calibri" w:eastAsia="Calibri" w:hAnsi="Calibri" w:cs="Calibri"/>
          <w:b/>
          <w:bCs/>
        </w:rPr>
        <w:t>Figure S</w:t>
      </w:r>
      <w:r>
        <w:rPr>
          <w:rFonts w:ascii="Calibri" w:eastAsia="Calibri" w:hAnsi="Calibri" w:cs="Calibri"/>
          <w:b/>
          <w:bCs/>
        </w:rPr>
        <w:t>4</w:t>
      </w:r>
      <w:r w:rsidRPr="00235BB1">
        <w:rPr>
          <w:rFonts w:ascii="Calibri" w:eastAsia="Calibri" w:hAnsi="Calibri" w:cs="Calibri"/>
          <w:b/>
          <w:bCs/>
        </w:rPr>
        <w:t xml:space="preserve">: </w:t>
      </w:r>
      <w:r>
        <w:rPr>
          <w:rFonts w:ascii="Calibri" w:eastAsia="Calibri" w:hAnsi="Calibri" w:cs="Calibri"/>
          <w:b/>
          <w:bCs/>
        </w:rPr>
        <w:t>Ribosomal occupancy at ESMs is unremarkable.</w:t>
      </w:r>
      <w:r>
        <w:rPr>
          <w:rFonts w:ascii="Calibri" w:eastAsia="Calibri" w:hAnsi="Calibri" w:cs="Calibri"/>
        </w:rPr>
        <w:t xml:space="preserve"> A) RT-qPCR data showing the </w:t>
      </w:r>
      <w:proofErr w:type="spellStart"/>
      <w:r>
        <w:rPr>
          <w:rFonts w:ascii="Calibri" w:eastAsia="Calibri" w:hAnsi="Calibri" w:cs="Calibri"/>
        </w:rPr>
        <w:t>polysomal</w:t>
      </w:r>
      <w:proofErr w:type="spellEnd"/>
      <w:r>
        <w:rPr>
          <w:rFonts w:ascii="Calibri" w:eastAsia="Calibri" w:hAnsi="Calibri" w:cs="Calibri"/>
        </w:rPr>
        <w:t xml:space="preserve"> distribution of </w:t>
      </w:r>
      <w:r w:rsidRPr="000C5B5A">
        <w:rPr>
          <w:rFonts w:ascii="Calibri" w:eastAsia="Calibri" w:hAnsi="Calibri" w:cs="Calibri"/>
          <w:i/>
          <w:iCs/>
        </w:rPr>
        <w:t>MAT2A</w:t>
      </w:r>
      <w:r>
        <w:rPr>
          <w:rFonts w:ascii="Calibri" w:eastAsia="Calibri" w:hAnsi="Calibri" w:cs="Calibri"/>
        </w:rPr>
        <w:t xml:space="preserve">, which is an OSL, as well as for </w:t>
      </w:r>
      <w:r w:rsidRPr="000C5B5A">
        <w:rPr>
          <w:rFonts w:ascii="Calibri" w:eastAsia="Calibri" w:hAnsi="Calibri" w:cs="Calibri"/>
          <w:i/>
          <w:iCs/>
        </w:rPr>
        <w:t>GAPDH</w:t>
      </w:r>
      <w:r>
        <w:rPr>
          <w:rFonts w:ascii="Calibri" w:eastAsia="Calibri" w:hAnsi="Calibri" w:cs="Calibri"/>
        </w:rPr>
        <w:t>, which also remains unchanged in emetine-treated cells (9 = gradient left over). B)</w:t>
      </w:r>
      <w:r w:rsidRPr="00F96663">
        <w:rPr>
          <w:rFonts w:ascii="Calibri" w:eastAsia="Calibri" w:hAnsi="Calibri" w:cs="Calibri"/>
        </w:rPr>
        <w:t xml:space="preserve"> </w:t>
      </w:r>
      <w:r>
        <w:rPr>
          <w:rFonts w:ascii="Calibri" w:eastAsia="Calibri" w:hAnsi="Calibri" w:cs="Calibri"/>
        </w:rPr>
        <w:t>CDF plot showing the log</w:t>
      </w:r>
      <w:r w:rsidRPr="007C4098">
        <w:rPr>
          <w:rFonts w:ascii="Calibri" w:eastAsia="Calibri" w:hAnsi="Calibri" w:cs="Calibri"/>
          <w:vertAlign w:val="subscript"/>
        </w:rPr>
        <w:t>2</w:t>
      </w:r>
      <w:r>
        <w:rPr>
          <w:rFonts w:ascii="Calibri" w:eastAsia="Calibri" w:hAnsi="Calibri" w:cs="Calibri"/>
        </w:rPr>
        <w:t>(TE) for ESMs (blue), OSLs (green), C2H2 ZNF-encoding mRNAs (orange) and all expressed (gray) mRNAs on the x-axis and the fraction of mRNAs on the y-axis.</w:t>
      </w:r>
    </w:p>
    <w:p w:rsidR="00981E0B" w:rsidRPr="00DD4ECA" w:rsidRDefault="00981E0B" w:rsidP="00981E0B">
      <w:pPr>
        <w:spacing w:before="120" w:after="120" w:line="240" w:lineRule="auto"/>
        <w:rPr>
          <w:rFonts w:ascii="Calibri" w:eastAsia="Calibri" w:hAnsi="Calibri" w:cs="Calibri"/>
        </w:rPr>
      </w:pPr>
      <w:r w:rsidRPr="00243716">
        <w:rPr>
          <w:rFonts w:ascii="Calibri" w:eastAsia="Calibri" w:hAnsi="Calibri" w:cs="Calibri"/>
          <w:b/>
          <w:bCs/>
        </w:rPr>
        <w:t>Figure S</w:t>
      </w:r>
      <w:r>
        <w:rPr>
          <w:rFonts w:ascii="Calibri" w:eastAsia="Calibri" w:hAnsi="Calibri" w:cs="Calibri"/>
          <w:b/>
          <w:bCs/>
        </w:rPr>
        <w:t>5</w:t>
      </w:r>
      <w:r w:rsidRPr="00243716">
        <w:rPr>
          <w:rFonts w:ascii="Calibri" w:eastAsia="Calibri" w:hAnsi="Calibri" w:cs="Calibri"/>
          <w:b/>
          <w:bCs/>
        </w:rPr>
        <w:t>:</w:t>
      </w:r>
      <w:r>
        <w:rPr>
          <w:rFonts w:ascii="Calibri" w:eastAsia="Calibri" w:hAnsi="Calibri" w:cs="Calibri"/>
          <w:b/>
          <w:bCs/>
        </w:rPr>
        <w:t xml:space="preserve"> Stabilization of select transcripts in response to translation inhibition is independent of ribosome collisions.</w:t>
      </w:r>
      <w:r>
        <w:rPr>
          <w:rFonts w:ascii="Calibri" w:eastAsia="Calibri" w:hAnsi="Calibri" w:cs="Calibri"/>
        </w:rPr>
        <w:t xml:space="preserve"> A) Western blots using antibodies against ZNF598, N4BP2 or beta-actin (loading control) in cells treated with siRNAs against ZNF598 (KD, top), N4BP2(KD, bottom), or with a scrambled siRNA control (</w:t>
      </w:r>
      <w:proofErr w:type="spellStart"/>
      <w:r>
        <w:rPr>
          <w:rFonts w:ascii="Calibri" w:eastAsia="Calibri" w:hAnsi="Calibri" w:cs="Calibri"/>
        </w:rPr>
        <w:t>siC</w:t>
      </w:r>
      <w:proofErr w:type="spellEnd"/>
      <w:r>
        <w:rPr>
          <w:rFonts w:ascii="Calibri" w:eastAsia="Calibri" w:hAnsi="Calibri" w:cs="Calibri"/>
        </w:rPr>
        <w:t>). B-C) Volcano plot for RNA-seq data obtained from ZNF598 (B) or GIGYF2 (C) knock out cells showing the -log</w:t>
      </w:r>
      <w:r w:rsidRPr="00367BD9">
        <w:rPr>
          <w:rFonts w:ascii="Calibri" w:eastAsia="Calibri" w:hAnsi="Calibri" w:cs="Calibri"/>
          <w:vertAlign w:val="subscript"/>
        </w:rPr>
        <w:t xml:space="preserve">10 </w:t>
      </w:r>
      <w:r>
        <w:rPr>
          <w:rFonts w:ascii="Calibri" w:eastAsia="Calibri" w:hAnsi="Calibri" w:cs="Calibri"/>
        </w:rPr>
        <w:t>(adjusted p-value) on the y-axis and the log</w:t>
      </w:r>
      <w:r w:rsidRPr="00367BD9">
        <w:rPr>
          <w:rFonts w:ascii="Calibri" w:eastAsia="Calibri" w:hAnsi="Calibri" w:cs="Calibri"/>
          <w:vertAlign w:val="subscript"/>
        </w:rPr>
        <w:t>2</w:t>
      </w:r>
      <w:r>
        <w:rPr>
          <w:rFonts w:ascii="Calibri" w:eastAsia="Calibri" w:hAnsi="Calibri" w:cs="Calibri"/>
        </w:rPr>
        <w:t xml:space="preserve">(fold change) of KO versus WT on the x-axis </w:t>
      </w:r>
      <w:r>
        <w:rPr>
          <w:rFonts w:ascii="Calibri" w:eastAsia="Calibri" w:hAnsi="Calibri" w:cs="Calibri"/>
        </w:rPr>
        <w:fldChar w:fldCharType="begin"/>
      </w:r>
      <w:r>
        <w:rPr>
          <w:rFonts w:ascii="Calibri" w:eastAsia="Calibri" w:hAnsi="Calibri" w:cs="Calibri"/>
        </w:rPr>
        <w:instrText xml:space="preserve"> ADDIN ZOTERO_ITEM CSL_CITATION {"citationID":"GqDL8WFq","properties":{"formattedCitation":"(Hickey et al. 2020)","plainCitation":"(Hickey et al. 2020)","noteIndex":0},"citationItems":[{"id":40,"uris":["http://zotero.org/users/10332019/items/KWKIJUVJ"],"itemData":{"id":40,"type":"article-journal","abstract":"Ribosome-associated quality control (RQC) pathways protect cells from toxicity caused by incomplete protein products resulting from translation of damaged or problematic mRNAs. Extensive work in yeast has identified highly conserved mechanisms that lead to degradation of faulty mRNA and partially synthesized polypeptides. Here we used CRISPR-Cas9-based screening to search for additional RQC strategies in mammals. We found that failed translation leads to specific inhibition of translation initiation on that message. This negative feedback loop is mediated by two translation inhibitors, GIGYF2 and 4EHP. Model substrates and growth-based assays established that inhibition of additional rounds of translation acts in concert with known RQC pathways to prevent buildup of toxic proteins. Inability to block translation of faulty mRNAs and subsequent accumulation of partially synthesized polypeptides could explain the neurodevelopmental and neuropsychiatric disorders observed in mice and humans with compromised GIGYF2 function.","container-title":"Molecular Cell","DOI":"10.1016/j.molcel.2020.07.007","ISSN":"1097-2765","issue":"6","journalAbbreviation":"Molecular Cell","page":"950-962.e6","source":"ScienceDirect","title":"GIGYF2 and 4EHP Inhibit Translation Initiation of Defective Messenger RNAs to Assist Ribosome-Associated Quality Control","volume":"79","author":[{"family":"Hickey","given":"Kelsey L."},{"family":"Dickson","given":"Kimberley"},{"family":"Cogan","given":"J. Zachery"},{"family":"Replogle","given":"Joseph M."},{"family":"Schoof","given":"Michael"},{"family":"D’Orazio","given":"Karole N."},{"family":"Sinha","given":"Niladri K."},{"family":"Hussmann","given":"Jeffrey A."},{"family":"Jost","given":"Marco"},{"family":"Frost","given":"Adam"},{"family":"Green","given":"Rachel"},{"family":"Weissman","given":"Jonathan S."},{"family":"Kostova","given":"Kamena K."}],"issued":{"date-parts":[["2020",9,17]]}}}],"schema":"https://github.com/citation-style-language/schema/raw/master/csl-citation.json"} </w:instrText>
      </w:r>
      <w:r>
        <w:rPr>
          <w:rFonts w:ascii="Calibri" w:eastAsia="Calibri" w:hAnsi="Calibri" w:cs="Calibri"/>
        </w:rPr>
        <w:fldChar w:fldCharType="separate"/>
      </w:r>
      <w:r>
        <w:rPr>
          <w:rFonts w:ascii="Calibri" w:eastAsia="Calibri" w:hAnsi="Calibri" w:cs="Calibri"/>
          <w:noProof/>
        </w:rPr>
        <w:t>(Hickey et al. 2020)</w:t>
      </w:r>
      <w:r>
        <w:rPr>
          <w:rFonts w:ascii="Calibri" w:eastAsia="Calibri" w:hAnsi="Calibri" w:cs="Calibri"/>
        </w:rPr>
        <w:fldChar w:fldCharType="end"/>
      </w:r>
      <w:r>
        <w:rPr>
          <w:rFonts w:ascii="Calibri" w:eastAsia="Calibri" w:hAnsi="Calibri" w:cs="Calibri"/>
        </w:rPr>
        <w:t>. ESMs are shown in blue. D) Box plot showing the log</w:t>
      </w:r>
      <w:r w:rsidRPr="000C5B5A">
        <w:rPr>
          <w:rFonts w:ascii="Calibri" w:eastAsia="Calibri" w:hAnsi="Calibri" w:cs="Calibri"/>
          <w:vertAlign w:val="subscript"/>
        </w:rPr>
        <w:t>2</w:t>
      </w:r>
      <w:r>
        <w:rPr>
          <w:rFonts w:ascii="Calibri" w:eastAsia="Calibri" w:hAnsi="Calibri" w:cs="Calibri"/>
        </w:rPr>
        <w:t xml:space="preserve">(fold change) of ESMs in emetine-treated versus untreated WT or EDF1 KO HEK293 </w:t>
      </w:r>
      <w:proofErr w:type="spellStart"/>
      <w:r>
        <w:rPr>
          <w:rFonts w:ascii="Calibri" w:eastAsia="Calibri" w:hAnsi="Calibri" w:cs="Calibri"/>
        </w:rPr>
        <w:t>Flp</w:t>
      </w:r>
      <w:proofErr w:type="spellEnd"/>
      <w:r>
        <w:rPr>
          <w:rFonts w:ascii="Calibri" w:eastAsia="Calibri" w:hAnsi="Calibri" w:cs="Calibri"/>
        </w:rPr>
        <w:t xml:space="preserve">-In </w:t>
      </w:r>
      <w:proofErr w:type="spellStart"/>
      <w:r>
        <w:rPr>
          <w:rFonts w:ascii="Calibri" w:eastAsia="Calibri" w:hAnsi="Calibri" w:cs="Calibri"/>
        </w:rPr>
        <w:t>TRex</w:t>
      </w:r>
      <w:proofErr w:type="spellEnd"/>
      <w:r>
        <w:rPr>
          <w:rFonts w:ascii="Calibri" w:eastAsia="Calibri" w:hAnsi="Calibri" w:cs="Calibri"/>
        </w:rPr>
        <w:t xml:space="preserve"> cells. E) Western blots using antibodies against eS10 or vinculin (loading control) performed on cells exposed to different doses of emetine. F-G) RT-qPCR using primers against ESMs in samples treated with increasing doses of emetine (F) or </w:t>
      </w:r>
      <w:proofErr w:type="spellStart"/>
      <w:r>
        <w:rPr>
          <w:rFonts w:ascii="Calibri" w:eastAsia="Calibri" w:hAnsi="Calibri" w:cs="Calibri"/>
        </w:rPr>
        <w:t>anisomycin</w:t>
      </w:r>
      <w:proofErr w:type="spellEnd"/>
      <w:r>
        <w:rPr>
          <w:rFonts w:ascii="Calibri" w:eastAsia="Calibri" w:hAnsi="Calibri" w:cs="Calibri"/>
        </w:rPr>
        <w:t xml:space="preserve"> (G).</w:t>
      </w:r>
    </w:p>
    <w:p w:rsidR="00981E0B" w:rsidRPr="00DD4ECA" w:rsidRDefault="00981E0B" w:rsidP="00981E0B">
      <w:pPr>
        <w:spacing w:before="120" w:after="120" w:line="240" w:lineRule="auto"/>
        <w:rPr>
          <w:rFonts w:ascii="Calibri" w:eastAsia="Calibri" w:hAnsi="Calibri" w:cs="Calibri"/>
        </w:rPr>
      </w:pPr>
      <w:r w:rsidRPr="00677BDB">
        <w:rPr>
          <w:rFonts w:ascii="Calibri" w:eastAsia="Calibri" w:hAnsi="Calibri" w:cs="Calibri"/>
          <w:b/>
          <w:bCs/>
        </w:rPr>
        <w:t>Table S1:</w:t>
      </w:r>
      <w:r>
        <w:rPr>
          <w:rFonts w:ascii="Calibri" w:eastAsia="Calibri" w:hAnsi="Calibri" w:cs="Calibri"/>
        </w:rPr>
        <w:t xml:space="preserve"> Includes DESeq2 and </w:t>
      </w:r>
      <w:proofErr w:type="spellStart"/>
      <w:r>
        <w:rPr>
          <w:rFonts w:ascii="Calibri" w:eastAsia="Calibri" w:hAnsi="Calibri" w:cs="Calibri"/>
        </w:rPr>
        <w:t>bakR</w:t>
      </w:r>
      <w:proofErr w:type="spellEnd"/>
      <w:r>
        <w:rPr>
          <w:rFonts w:ascii="Calibri" w:eastAsia="Calibri" w:hAnsi="Calibri" w:cs="Calibri"/>
        </w:rPr>
        <w:t xml:space="preserve"> results for all transcripts as well as a list of the ESMs, TCMs and OSLs (half-life ≥ 0.49 h).</w:t>
      </w:r>
    </w:p>
    <w:p w:rsidR="0081146A" w:rsidRDefault="0081146A"/>
    <w:sectPr w:rsidR="0081146A" w:rsidSect="00981E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0B"/>
    <w:rsid w:val="001942DC"/>
    <w:rsid w:val="007715B0"/>
    <w:rsid w:val="0081146A"/>
    <w:rsid w:val="00981E0B"/>
    <w:rsid w:val="00BC2853"/>
    <w:rsid w:val="00D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3CC706DC-D5F3-3E4D-9A48-9402460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1E0B"/>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2024-09-18T18:33:00Z</dcterms:created>
  <dcterms:modified xsi:type="dcterms:W3CDTF">2024-09-18T18:34:00Z</dcterms:modified>
</cp:coreProperties>
</file>