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1245"/>
        <w:gridCol w:w="2800"/>
        <w:gridCol w:w="2880"/>
      </w:tblGrid>
      <w:tr w:rsidR="008061B1" w:rsidRPr="0053476F" w:rsidTr="006940D0">
        <w:trPr>
          <w:jc w:val="center"/>
        </w:trPr>
        <w:tc>
          <w:tcPr>
            <w:tcW w:w="1245" w:type="dxa"/>
            <w:vAlign w:val="center"/>
          </w:tcPr>
          <w:p w:rsidR="008061B1" w:rsidRPr="0053476F" w:rsidRDefault="008061B1" w:rsidP="006940D0">
            <w:pPr>
              <w:jc w:val="center"/>
              <w:rPr>
                <w:rFonts w:ascii="Arial" w:hAnsi="Arial" w:cs="Arial"/>
                <w:b/>
                <w:bCs/>
                <w:color w:val="000000" w:themeColor="text1"/>
                <w:sz w:val="22"/>
                <w:szCs w:val="22"/>
              </w:rPr>
            </w:pPr>
            <w:r w:rsidRPr="0053476F">
              <w:rPr>
                <w:rFonts w:ascii="Arial" w:hAnsi="Arial" w:cs="Arial"/>
                <w:b/>
                <w:bCs/>
                <w:color w:val="000000" w:themeColor="text1"/>
                <w:sz w:val="22"/>
                <w:szCs w:val="22"/>
              </w:rPr>
              <w:t>3′X RNA</w:t>
            </w:r>
          </w:p>
        </w:tc>
        <w:tc>
          <w:tcPr>
            <w:tcW w:w="2800" w:type="dxa"/>
            <w:vAlign w:val="center"/>
          </w:tcPr>
          <w:p w:rsidR="008061B1" w:rsidRPr="0053476F" w:rsidRDefault="008061B1" w:rsidP="006940D0">
            <w:pPr>
              <w:jc w:val="center"/>
              <w:rPr>
                <w:rFonts w:ascii="Arial" w:hAnsi="Arial" w:cs="Arial"/>
                <w:b/>
                <w:bCs/>
                <w:color w:val="000000" w:themeColor="text1"/>
                <w:sz w:val="22"/>
                <w:szCs w:val="22"/>
              </w:rPr>
            </w:pPr>
            <w:r w:rsidRPr="0053476F">
              <w:rPr>
                <w:rFonts w:ascii="Arial" w:hAnsi="Arial" w:cs="Arial"/>
                <w:b/>
                <w:bCs/>
                <w:color w:val="000000" w:themeColor="text1"/>
                <w:sz w:val="22"/>
                <w:szCs w:val="22"/>
              </w:rPr>
              <w:t xml:space="preserve">calculated </w:t>
            </w:r>
            <w:r w:rsidRPr="0053476F">
              <w:rPr>
                <w:rFonts w:ascii="Arial" w:hAnsi="Arial" w:cs="Arial"/>
                <w:i/>
                <w:iCs/>
                <w:color w:val="000000" w:themeColor="text1"/>
                <w:sz w:val="22"/>
                <w:szCs w:val="22"/>
              </w:rPr>
              <w:t>∆∆Gº</w:t>
            </w:r>
            <w:r w:rsidRPr="0053476F">
              <w:rPr>
                <w:rFonts w:ascii="Arial" w:hAnsi="Arial" w:cs="Arial"/>
                <w:color w:val="000000" w:themeColor="text1"/>
                <w:sz w:val="22"/>
                <w:szCs w:val="22"/>
              </w:rPr>
              <w:t xml:space="preserve"> </w:t>
            </w:r>
            <w:r w:rsidRPr="0053476F">
              <w:rPr>
                <w:rFonts w:ascii="Arial" w:hAnsi="Arial" w:cs="Arial"/>
                <w:b/>
                <w:bCs/>
                <w:color w:val="000000" w:themeColor="text1"/>
                <w:sz w:val="22"/>
                <w:szCs w:val="22"/>
              </w:rPr>
              <w:t>(a-b)</w:t>
            </w:r>
            <w:r w:rsidRPr="0053476F">
              <w:rPr>
                <w:rFonts w:ascii="Arial" w:hAnsi="Arial" w:cs="Arial"/>
                <w:b/>
                <w:bCs/>
                <w:color w:val="000000" w:themeColor="text1"/>
                <w:sz w:val="22"/>
                <w:szCs w:val="22"/>
              </w:rPr>
              <w:br/>
              <w:t>[</w:t>
            </w:r>
            <w:r w:rsidRPr="0053476F">
              <w:rPr>
                <w:rFonts w:ascii="Arial" w:hAnsi="Arial" w:cs="Arial"/>
                <w:b/>
                <w:bCs/>
                <w:i/>
                <w:iCs/>
                <w:color w:val="000000" w:themeColor="text1"/>
                <w:sz w:val="22"/>
                <w:szCs w:val="22"/>
              </w:rPr>
              <w:t>kcal/mol</w:t>
            </w:r>
            <w:r w:rsidRPr="0053476F">
              <w:rPr>
                <w:rFonts w:ascii="Arial" w:hAnsi="Arial" w:cs="Arial"/>
                <w:b/>
                <w:bCs/>
                <w:color w:val="000000" w:themeColor="text1"/>
                <w:sz w:val="22"/>
                <w:szCs w:val="22"/>
              </w:rPr>
              <w:t>]</w:t>
            </w:r>
          </w:p>
        </w:tc>
        <w:tc>
          <w:tcPr>
            <w:tcW w:w="2880" w:type="dxa"/>
            <w:vAlign w:val="center"/>
          </w:tcPr>
          <w:p w:rsidR="008061B1" w:rsidRPr="0053476F" w:rsidRDefault="008061B1" w:rsidP="006940D0">
            <w:pPr>
              <w:jc w:val="center"/>
              <w:rPr>
                <w:rFonts w:ascii="Arial" w:hAnsi="Arial" w:cs="Arial"/>
                <w:b/>
                <w:bCs/>
                <w:color w:val="000000" w:themeColor="text1"/>
                <w:sz w:val="22"/>
                <w:szCs w:val="22"/>
              </w:rPr>
            </w:pPr>
            <w:r w:rsidRPr="0053476F">
              <w:rPr>
                <w:rFonts w:ascii="Arial" w:hAnsi="Arial" w:cs="Arial"/>
                <w:b/>
                <w:bCs/>
                <w:color w:val="000000" w:themeColor="text1"/>
                <w:sz w:val="22"/>
                <w:szCs w:val="22"/>
              </w:rPr>
              <w:t xml:space="preserve">experimental </w:t>
            </w:r>
            <w:r w:rsidRPr="0053476F">
              <w:rPr>
                <w:rFonts w:ascii="Arial" w:hAnsi="Arial" w:cs="Arial"/>
                <w:i/>
                <w:iCs/>
                <w:color w:val="000000" w:themeColor="text1"/>
                <w:sz w:val="22"/>
                <w:szCs w:val="22"/>
              </w:rPr>
              <w:t>∆∆Gº</w:t>
            </w:r>
            <w:r w:rsidRPr="0053476F">
              <w:rPr>
                <w:rFonts w:ascii="Arial" w:hAnsi="Arial" w:cs="Arial"/>
                <w:b/>
                <w:bCs/>
                <w:color w:val="000000" w:themeColor="text1"/>
                <w:sz w:val="22"/>
                <w:szCs w:val="22"/>
              </w:rPr>
              <w:t xml:space="preserve"> (a-b)</w:t>
            </w:r>
            <w:r w:rsidRPr="0053476F">
              <w:rPr>
                <w:rFonts w:ascii="Arial" w:hAnsi="Arial" w:cs="Arial"/>
                <w:b/>
                <w:bCs/>
                <w:color w:val="000000" w:themeColor="text1"/>
                <w:sz w:val="22"/>
                <w:szCs w:val="22"/>
              </w:rPr>
              <w:br/>
              <w:t>[</w:t>
            </w:r>
            <w:r w:rsidRPr="0053476F">
              <w:rPr>
                <w:rFonts w:ascii="Arial" w:hAnsi="Arial" w:cs="Arial"/>
                <w:b/>
                <w:bCs/>
                <w:i/>
                <w:iCs/>
                <w:color w:val="000000" w:themeColor="text1"/>
                <w:sz w:val="22"/>
                <w:szCs w:val="22"/>
              </w:rPr>
              <w:t>kcal/mol</w:t>
            </w:r>
            <w:r w:rsidRPr="0053476F">
              <w:rPr>
                <w:rFonts w:ascii="Arial" w:hAnsi="Arial" w:cs="Arial"/>
                <w:b/>
                <w:bCs/>
                <w:color w:val="000000" w:themeColor="text1"/>
                <w:sz w:val="22"/>
                <w:szCs w:val="22"/>
              </w:rPr>
              <w:t>]</w:t>
            </w:r>
          </w:p>
        </w:tc>
      </w:tr>
      <w:tr w:rsidR="008061B1" w:rsidRPr="0053476F" w:rsidTr="006940D0">
        <w:trPr>
          <w:jc w:val="center"/>
        </w:trPr>
        <w:tc>
          <w:tcPr>
            <w:tcW w:w="1245" w:type="dxa"/>
            <w:tcBorders>
              <w:bottom w:val="single" w:sz="4" w:space="0" w:color="auto"/>
            </w:tcBorders>
          </w:tcPr>
          <w:p w:rsidR="008061B1" w:rsidRPr="0053476F" w:rsidRDefault="008061B1" w:rsidP="006940D0">
            <w:pPr>
              <w:jc w:val="center"/>
              <w:rPr>
                <w:rFonts w:ascii="Arial" w:hAnsi="Arial" w:cs="Arial"/>
                <w:b/>
                <w:bCs/>
                <w:color w:val="000000" w:themeColor="text1"/>
                <w:sz w:val="22"/>
                <w:szCs w:val="22"/>
              </w:rPr>
            </w:pPr>
            <w:r w:rsidRPr="0053476F">
              <w:rPr>
                <w:rFonts w:ascii="Arial" w:hAnsi="Arial" w:cs="Arial"/>
                <w:b/>
                <w:bCs/>
                <w:color w:val="000000" w:themeColor="text1"/>
                <w:sz w:val="22"/>
                <w:szCs w:val="22"/>
              </w:rPr>
              <w:t>WT</w:t>
            </w:r>
          </w:p>
        </w:tc>
        <w:tc>
          <w:tcPr>
            <w:tcW w:w="2800" w:type="dxa"/>
            <w:tcBorders>
              <w:bottom w:val="single" w:sz="4" w:space="0" w:color="auto"/>
            </w:tcBorders>
          </w:tcPr>
          <w:p w:rsidR="008061B1" w:rsidRPr="0053476F" w:rsidRDefault="008061B1" w:rsidP="006940D0">
            <w:pPr>
              <w:jc w:val="center"/>
              <w:rPr>
                <w:rFonts w:ascii="Arial" w:hAnsi="Arial" w:cs="Arial"/>
                <w:color w:val="000000" w:themeColor="text1"/>
                <w:sz w:val="22"/>
                <w:szCs w:val="22"/>
              </w:rPr>
            </w:pPr>
            <w:r w:rsidRPr="0053476F">
              <w:rPr>
                <w:rFonts w:ascii="Arial" w:hAnsi="Arial" w:cs="Arial"/>
                <w:color w:val="000000" w:themeColor="text1"/>
                <w:sz w:val="22"/>
                <w:szCs w:val="22"/>
              </w:rPr>
              <w:t>(-44.1) – (-42.1) = -2.0</w:t>
            </w:r>
          </w:p>
        </w:tc>
        <w:tc>
          <w:tcPr>
            <w:tcW w:w="2880" w:type="dxa"/>
            <w:tcBorders>
              <w:bottom w:val="single" w:sz="4" w:space="0" w:color="auto"/>
            </w:tcBorders>
          </w:tcPr>
          <w:p w:rsidR="008061B1" w:rsidRPr="0053476F" w:rsidRDefault="008061B1" w:rsidP="006940D0">
            <w:pPr>
              <w:jc w:val="center"/>
              <w:rPr>
                <w:rFonts w:ascii="Arial" w:hAnsi="Arial" w:cs="Arial"/>
                <w:i/>
                <w:iCs/>
                <w:color w:val="000000" w:themeColor="text1"/>
                <w:sz w:val="22"/>
                <w:szCs w:val="22"/>
              </w:rPr>
            </w:pPr>
            <w:r w:rsidRPr="0053476F">
              <w:rPr>
                <w:rFonts w:ascii="Arial" w:hAnsi="Arial" w:cs="Arial"/>
                <w:i/>
                <w:iCs/>
                <w:color w:val="000000" w:themeColor="text1"/>
                <w:sz w:val="22"/>
                <w:szCs w:val="22"/>
              </w:rPr>
              <w:t>–</w:t>
            </w:r>
          </w:p>
        </w:tc>
      </w:tr>
      <w:tr w:rsidR="008061B1" w:rsidRPr="0053476F" w:rsidTr="006940D0">
        <w:trPr>
          <w:jc w:val="center"/>
        </w:trPr>
        <w:tc>
          <w:tcPr>
            <w:tcW w:w="1245" w:type="dxa"/>
            <w:shd w:val="clear" w:color="auto" w:fill="auto"/>
          </w:tcPr>
          <w:p w:rsidR="008061B1" w:rsidRPr="0053476F" w:rsidRDefault="008061B1" w:rsidP="006940D0">
            <w:pPr>
              <w:jc w:val="center"/>
              <w:rPr>
                <w:rFonts w:ascii="Arial" w:hAnsi="Arial" w:cs="Arial"/>
                <w:b/>
                <w:bCs/>
                <w:color w:val="000000" w:themeColor="text1"/>
                <w:sz w:val="22"/>
                <w:szCs w:val="22"/>
              </w:rPr>
            </w:pPr>
            <w:r w:rsidRPr="0053476F">
              <w:rPr>
                <w:rFonts w:ascii="Arial" w:hAnsi="Arial" w:cs="Arial"/>
                <w:b/>
                <w:bCs/>
                <w:color w:val="000000" w:themeColor="text1"/>
                <w:sz w:val="22"/>
                <w:szCs w:val="22"/>
              </w:rPr>
              <w:t>3′X55</w:t>
            </w:r>
          </w:p>
        </w:tc>
        <w:tc>
          <w:tcPr>
            <w:tcW w:w="2800" w:type="dxa"/>
            <w:shd w:val="clear" w:color="auto" w:fill="auto"/>
          </w:tcPr>
          <w:p w:rsidR="008061B1" w:rsidRPr="0053476F" w:rsidRDefault="008061B1" w:rsidP="006940D0">
            <w:pPr>
              <w:jc w:val="center"/>
              <w:rPr>
                <w:rFonts w:ascii="Arial" w:hAnsi="Arial" w:cs="Arial"/>
                <w:color w:val="000000" w:themeColor="text1"/>
                <w:sz w:val="22"/>
                <w:szCs w:val="22"/>
              </w:rPr>
            </w:pPr>
            <w:r w:rsidRPr="0053476F">
              <w:rPr>
                <w:rFonts w:ascii="Arial" w:hAnsi="Arial" w:cs="Arial"/>
                <w:color w:val="000000" w:themeColor="text1"/>
                <w:sz w:val="22"/>
                <w:szCs w:val="22"/>
              </w:rPr>
              <w:t>(-20.2) - (-13.2) = -7.0</w:t>
            </w:r>
          </w:p>
        </w:tc>
        <w:tc>
          <w:tcPr>
            <w:tcW w:w="2880" w:type="dxa"/>
            <w:shd w:val="clear" w:color="auto" w:fill="auto"/>
          </w:tcPr>
          <w:p w:rsidR="008061B1" w:rsidRPr="0053476F" w:rsidRDefault="008061B1" w:rsidP="006940D0">
            <w:pPr>
              <w:jc w:val="center"/>
              <w:rPr>
                <w:rFonts w:ascii="Arial" w:hAnsi="Arial" w:cs="Arial"/>
                <w:color w:val="000000" w:themeColor="text1"/>
                <w:sz w:val="22"/>
                <w:szCs w:val="22"/>
              </w:rPr>
            </w:pPr>
            <w:r w:rsidRPr="0053476F">
              <w:rPr>
                <w:rFonts w:ascii="Arial" w:hAnsi="Arial" w:cs="Arial"/>
                <w:color w:val="000000" w:themeColor="text1"/>
                <w:sz w:val="22"/>
                <w:szCs w:val="22"/>
              </w:rPr>
              <w:t>-0.6</w:t>
            </w:r>
          </w:p>
        </w:tc>
      </w:tr>
      <w:tr w:rsidR="008061B1" w:rsidRPr="0053476F" w:rsidTr="006940D0">
        <w:trPr>
          <w:jc w:val="center"/>
        </w:trPr>
        <w:tc>
          <w:tcPr>
            <w:tcW w:w="1245" w:type="dxa"/>
          </w:tcPr>
          <w:p w:rsidR="008061B1" w:rsidRPr="0053476F" w:rsidRDefault="008061B1" w:rsidP="006940D0">
            <w:pPr>
              <w:jc w:val="center"/>
              <w:rPr>
                <w:rFonts w:ascii="Arial" w:hAnsi="Arial" w:cs="Arial"/>
                <w:b/>
                <w:bCs/>
                <w:color w:val="000000" w:themeColor="text1"/>
                <w:sz w:val="22"/>
                <w:szCs w:val="22"/>
              </w:rPr>
            </w:pPr>
            <w:r w:rsidRPr="0053476F">
              <w:rPr>
                <w:rFonts w:ascii="Arial" w:hAnsi="Arial" w:cs="Arial"/>
                <w:b/>
                <w:bCs/>
                <w:color w:val="000000" w:themeColor="text1"/>
                <w:sz w:val="22"/>
                <w:szCs w:val="22"/>
              </w:rPr>
              <w:t>3′X49</w:t>
            </w:r>
          </w:p>
        </w:tc>
        <w:tc>
          <w:tcPr>
            <w:tcW w:w="2800" w:type="dxa"/>
          </w:tcPr>
          <w:p w:rsidR="008061B1" w:rsidRPr="0053476F" w:rsidRDefault="008061B1" w:rsidP="006940D0">
            <w:pPr>
              <w:jc w:val="center"/>
              <w:rPr>
                <w:rFonts w:ascii="Arial" w:hAnsi="Arial" w:cs="Arial"/>
                <w:color w:val="000000" w:themeColor="text1"/>
                <w:sz w:val="22"/>
                <w:szCs w:val="22"/>
              </w:rPr>
            </w:pPr>
            <w:r w:rsidRPr="0053476F">
              <w:rPr>
                <w:rFonts w:ascii="Arial" w:hAnsi="Arial" w:cs="Arial"/>
                <w:color w:val="000000" w:themeColor="text1"/>
                <w:sz w:val="22"/>
                <w:szCs w:val="22"/>
              </w:rPr>
              <w:t>(-5.5) – (-12.4) = +6.9</w:t>
            </w:r>
          </w:p>
        </w:tc>
        <w:tc>
          <w:tcPr>
            <w:tcW w:w="2880" w:type="dxa"/>
          </w:tcPr>
          <w:p w:rsidR="008061B1" w:rsidRPr="0053476F" w:rsidRDefault="008061B1" w:rsidP="006940D0">
            <w:pPr>
              <w:jc w:val="center"/>
              <w:rPr>
                <w:rFonts w:ascii="Arial" w:hAnsi="Arial" w:cs="Arial"/>
                <w:color w:val="000000" w:themeColor="text1"/>
                <w:sz w:val="22"/>
                <w:szCs w:val="22"/>
              </w:rPr>
            </w:pPr>
            <w:r w:rsidRPr="0053476F">
              <w:rPr>
                <w:rFonts w:ascii="Arial" w:hAnsi="Arial" w:cs="Arial"/>
                <w:color w:val="000000" w:themeColor="text1"/>
                <w:sz w:val="22"/>
                <w:szCs w:val="22"/>
              </w:rPr>
              <w:t>+0.7</w:t>
            </w:r>
          </w:p>
        </w:tc>
      </w:tr>
    </w:tbl>
    <w:p w:rsidR="008061B1" w:rsidRPr="0053476F" w:rsidRDefault="008061B1" w:rsidP="008061B1">
      <w:pPr>
        <w:adjustRightInd w:val="0"/>
        <w:snapToGrid w:val="0"/>
        <w:jc w:val="center"/>
        <w:rPr>
          <w:rFonts w:ascii="Arial" w:hAnsi="Arial" w:cs="Arial"/>
          <w:b/>
          <w:bCs/>
          <w:color w:val="000000" w:themeColor="text1"/>
          <w:sz w:val="22"/>
          <w:szCs w:val="22"/>
        </w:rPr>
      </w:pPr>
    </w:p>
    <w:p w:rsidR="008061B1" w:rsidRDefault="008061B1" w:rsidP="008061B1">
      <w:pPr>
        <w:adjustRightInd w:val="0"/>
        <w:snapToGrid w:val="0"/>
        <w:rPr>
          <w:rFonts w:ascii="Arial" w:hAnsi="Arial" w:cs="Arial"/>
          <w:color w:val="000000" w:themeColor="text1"/>
          <w:sz w:val="22"/>
          <w:szCs w:val="22"/>
        </w:rPr>
      </w:pPr>
      <w:r w:rsidRPr="0053476F">
        <w:rPr>
          <w:rFonts w:ascii="Arial" w:hAnsi="Arial" w:cs="Arial"/>
          <w:b/>
          <w:bCs/>
          <w:color w:val="000000" w:themeColor="text1"/>
          <w:sz w:val="22"/>
          <w:szCs w:val="22"/>
        </w:rPr>
        <w:t>Table S1: Folding free energy differences between the two conformations of 3′X.</w:t>
      </w:r>
      <w:r w:rsidRPr="0053476F">
        <w:rPr>
          <w:rFonts w:ascii="Arial" w:hAnsi="Arial" w:cs="Arial"/>
          <w:color w:val="000000" w:themeColor="text1"/>
          <w:sz w:val="22"/>
          <w:szCs w:val="22"/>
        </w:rPr>
        <w:t xml:space="preserve"> Folding free energy values for both secondary structures of the various </w:t>
      </w:r>
      <w:r w:rsidRPr="0053476F">
        <w:rPr>
          <w:rFonts w:ascii="Arial" w:hAnsi="Arial" w:cs="Arial"/>
          <w:b/>
          <w:bCs/>
          <w:color w:val="000000" w:themeColor="text1"/>
          <w:sz w:val="22"/>
          <w:szCs w:val="22"/>
        </w:rPr>
        <w:t>3′X</w:t>
      </w:r>
      <w:r w:rsidRPr="0053476F" w:rsidDel="00E7361D">
        <w:rPr>
          <w:rFonts w:ascii="Arial" w:hAnsi="Arial" w:cs="Arial"/>
          <w:color w:val="000000" w:themeColor="text1"/>
          <w:sz w:val="22"/>
          <w:szCs w:val="22"/>
        </w:rPr>
        <w:t xml:space="preserve"> </w:t>
      </w:r>
      <w:r w:rsidRPr="0053476F">
        <w:rPr>
          <w:rFonts w:ascii="Arial" w:hAnsi="Arial" w:cs="Arial"/>
          <w:color w:val="000000" w:themeColor="text1"/>
          <w:sz w:val="22"/>
          <w:szCs w:val="22"/>
        </w:rPr>
        <w:t xml:space="preserve">RNAs were calculated as described in the </w:t>
      </w:r>
      <w:r w:rsidRPr="0053476F">
        <w:rPr>
          <w:rFonts w:ascii="Arial" w:hAnsi="Arial" w:cs="Arial"/>
          <w:b/>
          <w:bCs/>
          <w:color w:val="000000" w:themeColor="text1"/>
          <w:sz w:val="22"/>
          <w:szCs w:val="22"/>
        </w:rPr>
        <w:t>MATERIALS AND METHODS</w:t>
      </w:r>
      <w:r w:rsidRPr="0053476F">
        <w:rPr>
          <w:rFonts w:ascii="Arial" w:hAnsi="Arial" w:cs="Arial"/>
          <w:color w:val="000000" w:themeColor="text1"/>
          <w:sz w:val="22"/>
          <w:szCs w:val="22"/>
        </w:rPr>
        <w:t xml:space="preserve"> section. The difference between these values (</w:t>
      </w:r>
      <w:r w:rsidRPr="0053476F">
        <w:rPr>
          <w:rFonts w:ascii="Arial" w:hAnsi="Arial" w:cs="Arial"/>
          <w:b/>
          <w:bCs/>
          <w:i/>
          <w:iCs/>
          <w:color w:val="000000" w:themeColor="text1"/>
          <w:sz w:val="22"/>
          <w:szCs w:val="22"/>
        </w:rPr>
        <w:t>ΔΔG</w:t>
      </w:r>
      <w:r w:rsidRPr="0053476F">
        <w:rPr>
          <w:rFonts w:ascii="Arial" w:hAnsi="Arial" w:cs="Arial"/>
          <w:color w:val="000000" w:themeColor="text1"/>
          <w:sz w:val="22"/>
          <w:szCs w:val="22"/>
        </w:rPr>
        <w:t xml:space="preserve">) reflects the relative stability of the two different secondary structures. Experimental values are calculated using the relative abundance values derived from single-molecule FRET measurements at a temperature of 298.15 </w:t>
      </w:r>
      <w:r w:rsidRPr="0053476F">
        <w:rPr>
          <w:rFonts w:ascii="Arial" w:hAnsi="Arial" w:cs="Arial"/>
          <w:i/>
          <w:iCs/>
          <w:color w:val="000000" w:themeColor="text1"/>
          <w:sz w:val="22"/>
          <w:szCs w:val="22"/>
        </w:rPr>
        <w:t>K</w:t>
      </w:r>
      <w:r w:rsidRPr="0053476F">
        <w:rPr>
          <w:rFonts w:ascii="Arial" w:hAnsi="Arial" w:cs="Arial"/>
          <w:color w:val="000000" w:themeColor="text1"/>
          <w:sz w:val="22"/>
          <w:szCs w:val="22"/>
        </w:rPr>
        <w:t>.</w:t>
      </w:r>
    </w:p>
    <w:p w:rsidR="008061B1" w:rsidRDefault="008061B1" w:rsidP="008061B1">
      <w:pPr>
        <w:adjustRightInd w:val="0"/>
        <w:snapToGrid w:val="0"/>
        <w:rPr>
          <w:rFonts w:ascii="Arial" w:hAnsi="Arial" w:cs="Arial"/>
          <w:color w:val="000000" w:themeColor="text1"/>
          <w:sz w:val="22"/>
          <w:szCs w:val="22"/>
        </w:rPr>
      </w:pPr>
    </w:p>
    <w:p w:rsidR="008061B1" w:rsidRPr="0053476F" w:rsidRDefault="008061B1" w:rsidP="008061B1">
      <w:pPr>
        <w:adjustRightInd w:val="0"/>
        <w:snapToGrid w:val="0"/>
        <w:rPr>
          <w:rFonts w:ascii="Arial" w:hAnsi="Arial" w:cs="Arial"/>
          <w:color w:val="000000" w:themeColor="text1"/>
          <w:sz w:val="22"/>
          <w:szCs w:val="22"/>
        </w:rPr>
      </w:pPr>
    </w:p>
    <w:p w:rsidR="008061B1" w:rsidRDefault="008061B1" w:rsidP="008061B1">
      <w:pPr>
        <w:tabs>
          <w:tab w:val="left" w:pos="5929"/>
        </w:tabs>
        <w:rPr>
          <w:rFonts w:ascii="Arial" w:eastAsia="MS Gothic" w:hAnsi="Arial" w:cs="Arial"/>
          <w:color w:val="000000" w:themeColor="text1"/>
          <w:sz w:val="22"/>
          <w:szCs w:val="22"/>
          <w:lang w:eastAsia="ja-JP"/>
        </w:rPr>
      </w:pPr>
      <w:r>
        <w:rPr>
          <w:rFonts w:ascii="Arial" w:eastAsia="MS Gothic" w:hAnsi="Arial" w:cs="Arial"/>
          <w:color w:val="000000" w:themeColor="text1"/>
          <w:sz w:val="22"/>
          <w:szCs w:val="22"/>
          <w:lang w:eastAsia="ja-JP"/>
        </w:rPr>
        <w:tab/>
      </w:r>
    </w:p>
    <w:tbl>
      <w:tblPr>
        <w:tblStyle w:val="TableGrid"/>
        <w:tblW w:w="0" w:type="auto"/>
        <w:jc w:val="center"/>
        <w:tblLook w:val="04A0" w:firstRow="1" w:lastRow="0" w:firstColumn="1" w:lastColumn="0" w:noHBand="0" w:noVBand="1"/>
      </w:tblPr>
      <w:tblGrid>
        <w:gridCol w:w="1795"/>
        <w:gridCol w:w="7555"/>
      </w:tblGrid>
      <w:tr w:rsidR="008061B1" w:rsidRPr="0053476F" w:rsidTr="006940D0">
        <w:trPr>
          <w:jc w:val="center"/>
        </w:trPr>
        <w:tc>
          <w:tcPr>
            <w:tcW w:w="1795" w:type="dxa"/>
            <w:vAlign w:val="center"/>
          </w:tcPr>
          <w:p w:rsidR="008061B1" w:rsidRPr="0053476F" w:rsidRDefault="008061B1" w:rsidP="006940D0">
            <w:pPr>
              <w:adjustRightInd w:val="0"/>
              <w:snapToGrid w:val="0"/>
              <w:jc w:val="center"/>
              <w:rPr>
                <w:rFonts w:ascii="Arial" w:hAnsi="Arial" w:cs="Arial"/>
                <w:color w:val="000000" w:themeColor="text1"/>
                <w:sz w:val="22"/>
                <w:szCs w:val="22"/>
              </w:rPr>
            </w:pPr>
            <w:r w:rsidRPr="0053476F">
              <w:rPr>
                <w:rFonts w:ascii="Arial" w:hAnsi="Arial" w:cs="Arial"/>
                <w:color w:val="000000" w:themeColor="text1"/>
                <w:sz w:val="22"/>
                <w:szCs w:val="22"/>
              </w:rPr>
              <w:t>RNA 1</w:t>
            </w:r>
          </w:p>
        </w:tc>
        <w:tc>
          <w:tcPr>
            <w:tcW w:w="7555" w:type="dxa"/>
          </w:tcPr>
          <w:p w:rsidR="008061B1" w:rsidRPr="0053476F" w:rsidRDefault="008061B1" w:rsidP="006940D0">
            <w:pPr>
              <w:adjustRightInd w:val="0"/>
              <w:snapToGrid w:val="0"/>
              <w:rPr>
                <w:rFonts w:ascii="Arial" w:hAnsi="Arial" w:cs="Arial"/>
                <w:color w:val="000000" w:themeColor="text1"/>
                <w:sz w:val="22"/>
                <w:szCs w:val="22"/>
              </w:rPr>
            </w:pPr>
            <w:r w:rsidRPr="0053476F">
              <w:rPr>
                <w:rFonts w:ascii="Arial" w:hAnsi="Arial" w:cs="Arial"/>
                <w:color w:val="000000" w:themeColor="text1"/>
                <w:sz w:val="22"/>
                <w:szCs w:val="22"/>
              </w:rPr>
              <w:t>5′—GGUGG CUCCA UC/iAmC6T/UA GCCCU AGUCA CGGC—3′</w:t>
            </w:r>
          </w:p>
        </w:tc>
      </w:tr>
      <w:tr w:rsidR="008061B1" w:rsidRPr="0053476F" w:rsidTr="006940D0">
        <w:trPr>
          <w:jc w:val="center"/>
        </w:trPr>
        <w:tc>
          <w:tcPr>
            <w:tcW w:w="1795" w:type="dxa"/>
            <w:vAlign w:val="center"/>
          </w:tcPr>
          <w:p w:rsidR="008061B1" w:rsidRPr="0053476F" w:rsidRDefault="008061B1" w:rsidP="006940D0">
            <w:pPr>
              <w:adjustRightInd w:val="0"/>
              <w:snapToGrid w:val="0"/>
              <w:jc w:val="center"/>
              <w:rPr>
                <w:rFonts w:ascii="Arial" w:hAnsi="Arial" w:cs="Arial"/>
                <w:color w:val="000000" w:themeColor="text1"/>
                <w:sz w:val="22"/>
                <w:szCs w:val="22"/>
              </w:rPr>
            </w:pPr>
            <w:r w:rsidRPr="0053476F">
              <w:rPr>
                <w:rFonts w:ascii="Arial" w:hAnsi="Arial" w:cs="Arial"/>
                <w:color w:val="000000" w:themeColor="text1"/>
                <w:sz w:val="22"/>
                <w:szCs w:val="22"/>
              </w:rPr>
              <w:t>RNA 2</w:t>
            </w:r>
          </w:p>
        </w:tc>
        <w:tc>
          <w:tcPr>
            <w:tcW w:w="7555" w:type="dxa"/>
          </w:tcPr>
          <w:p w:rsidR="008061B1" w:rsidRPr="0053476F" w:rsidRDefault="008061B1" w:rsidP="006940D0">
            <w:pPr>
              <w:adjustRightInd w:val="0"/>
              <w:snapToGrid w:val="0"/>
              <w:rPr>
                <w:rFonts w:ascii="Arial" w:hAnsi="Arial" w:cs="Arial"/>
                <w:color w:val="000000" w:themeColor="text1"/>
                <w:sz w:val="22"/>
                <w:szCs w:val="22"/>
              </w:rPr>
            </w:pPr>
            <w:r w:rsidRPr="0053476F">
              <w:rPr>
                <w:rFonts w:ascii="Arial" w:hAnsi="Arial" w:cs="Arial"/>
                <w:color w:val="000000" w:themeColor="text1"/>
                <w:sz w:val="22"/>
                <w:szCs w:val="22"/>
              </w:rPr>
              <w:t>5′—/5Phos/UAGCU GUGAA /</w:t>
            </w:r>
            <w:proofErr w:type="spellStart"/>
            <w:r w:rsidRPr="0053476F">
              <w:rPr>
                <w:rFonts w:ascii="Arial" w:hAnsi="Arial" w:cs="Arial"/>
                <w:color w:val="000000" w:themeColor="text1"/>
                <w:sz w:val="22"/>
                <w:szCs w:val="22"/>
              </w:rPr>
              <w:t>iUniAmM</w:t>
            </w:r>
            <w:proofErr w:type="spellEnd"/>
            <w:r w:rsidRPr="0053476F">
              <w:rPr>
                <w:rFonts w:ascii="Arial" w:hAnsi="Arial" w:cs="Arial"/>
                <w:color w:val="000000" w:themeColor="text1"/>
                <w:sz w:val="22"/>
                <w:szCs w:val="22"/>
              </w:rPr>
              <w:t>/AGGU CCGUG AGCCG CU—3′</w:t>
            </w:r>
          </w:p>
        </w:tc>
      </w:tr>
      <w:tr w:rsidR="008061B1" w:rsidRPr="0053476F" w:rsidTr="006940D0">
        <w:trPr>
          <w:jc w:val="center"/>
        </w:trPr>
        <w:tc>
          <w:tcPr>
            <w:tcW w:w="1795" w:type="dxa"/>
            <w:vAlign w:val="center"/>
          </w:tcPr>
          <w:p w:rsidR="008061B1" w:rsidRPr="0053476F" w:rsidRDefault="008061B1" w:rsidP="006940D0">
            <w:pPr>
              <w:adjustRightInd w:val="0"/>
              <w:snapToGrid w:val="0"/>
              <w:jc w:val="center"/>
              <w:rPr>
                <w:rFonts w:ascii="Arial" w:hAnsi="Arial" w:cs="Arial"/>
                <w:color w:val="000000" w:themeColor="text1"/>
                <w:sz w:val="22"/>
                <w:szCs w:val="22"/>
              </w:rPr>
            </w:pPr>
            <w:r w:rsidRPr="0053476F">
              <w:rPr>
                <w:rFonts w:ascii="Arial" w:hAnsi="Arial" w:cs="Arial"/>
                <w:color w:val="000000" w:themeColor="text1"/>
                <w:sz w:val="22"/>
                <w:szCs w:val="22"/>
              </w:rPr>
              <w:t>RNA 3</w:t>
            </w:r>
          </w:p>
        </w:tc>
        <w:tc>
          <w:tcPr>
            <w:tcW w:w="7555" w:type="dxa"/>
          </w:tcPr>
          <w:p w:rsidR="008061B1" w:rsidRPr="0053476F" w:rsidRDefault="008061B1" w:rsidP="006940D0">
            <w:pPr>
              <w:adjustRightInd w:val="0"/>
              <w:snapToGrid w:val="0"/>
              <w:rPr>
                <w:rFonts w:ascii="Arial" w:hAnsi="Arial" w:cs="Arial"/>
                <w:color w:val="000000" w:themeColor="text1"/>
                <w:sz w:val="22"/>
                <w:szCs w:val="22"/>
              </w:rPr>
            </w:pPr>
            <w:r w:rsidRPr="0053476F">
              <w:rPr>
                <w:rFonts w:ascii="Arial" w:hAnsi="Arial" w:cs="Arial"/>
                <w:color w:val="000000" w:themeColor="text1"/>
                <w:sz w:val="22"/>
                <w:szCs w:val="22"/>
              </w:rPr>
              <w:t>5′—/5Phos/UAGCU GUGAA /</w:t>
            </w:r>
            <w:proofErr w:type="spellStart"/>
            <w:r w:rsidRPr="0053476F">
              <w:rPr>
                <w:rFonts w:ascii="Arial" w:hAnsi="Arial" w:cs="Arial"/>
                <w:color w:val="000000" w:themeColor="text1"/>
                <w:sz w:val="22"/>
                <w:szCs w:val="22"/>
              </w:rPr>
              <w:t>iUniAmM</w:t>
            </w:r>
            <w:proofErr w:type="spellEnd"/>
            <w:r w:rsidRPr="0053476F">
              <w:rPr>
                <w:rFonts w:ascii="Arial" w:hAnsi="Arial" w:cs="Arial"/>
                <w:color w:val="000000" w:themeColor="text1"/>
                <w:sz w:val="22"/>
                <w:szCs w:val="22"/>
              </w:rPr>
              <w:t>/AGGU CCGUG A—3′</w:t>
            </w:r>
          </w:p>
        </w:tc>
      </w:tr>
      <w:tr w:rsidR="008061B1" w:rsidRPr="0053476F" w:rsidTr="006940D0">
        <w:trPr>
          <w:jc w:val="center"/>
        </w:trPr>
        <w:tc>
          <w:tcPr>
            <w:tcW w:w="1795" w:type="dxa"/>
            <w:vAlign w:val="center"/>
          </w:tcPr>
          <w:p w:rsidR="008061B1" w:rsidRPr="0053476F" w:rsidRDefault="008061B1" w:rsidP="006940D0">
            <w:pPr>
              <w:adjustRightInd w:val="0"/>
              <w:snapToGrid w:val="0"/>
              <w:jc w:val="center"/>
              <w:rPr>
                <w:rFonts w:ascii="Arial" w:hAnsi="Arial" w:cs="Arial"/>
                <w:color w:val="000000" w:themeColor="text1"/>
                <w:sz w:val="22"/>
                <w:szCs w:val="22"/>
              </w:rPr>
            </w:pPr>
            <w:r w:rsidRPr="0053476F">
              <w:rPr>
                <w:rFonts w:ascii="Arial" w:hAnsi="Arial" w:cs="Arial"/>
                <w:color w:val="000000" w:themeColor="text1"/>
                <w:sz w:val="22"/>
                <w:szCs w:val="22"/>
              </w:rPr>
              <w:t>DNA splint</w:t>
            </w:r>
          </w:p>
        </w:tc>
        <w:tc>
          <w:tcPr>
            <w:tcW w:w="7555" w:type="dxa"/>
          </w:tcPr>
          <w:p w:rsidR="008061B1" w:rsidRPr="0053476F" w:rsidRDefault="008061B1" w:rsidP="006940D0">
            <w:pPr>
              <w:adjustRightInd w:val="0"/>
              <w:snapToGrid w:val="0"/>
              <w:rPr>
                <w:rFonts w:ascii="Arial" w:hAnsi="Arial" w:cs="Arial"/>
                <w:color w:val="000000" w:themeColor="text1"/>
                <w:sz w:val="22"/>
                <w:szCs w:val="22"/>
              </w:rPr>
            </w:pPr>
            <w:r w:rsidRPr="0053476F">
              <w:rPr>
                <w:rFonts w:ascii="Arial" w:hAnsi="Arial" w:cs="Arial"/>
                <w:color w:val="000000" w:themeColor="text1"/>
                <w:sz w:val="22"/>
                <w:szCs w:val="22"/>
              </w:rPr>
              <w:t>5′—AGCGG CTCAC GGACC TTTCA CAGCT AGCCG TGACT AGGGC TAAGA TGGAG CCACC—3′</w:t>
            </w:r>
          </w:p>
        </w:tc>
      </w:tr>
      <w:tr w:rsidR="008061B1" w:rsidRPr="0053476F" w:rsidTr="006940D0">
        <w:trPr>
          <w:jc w:val="center"/>
        </w:trPr>
        <w:tc>
          <w:tcPr>
            <w:tcW w:w="1795" w:type="dxa"/>
            <w:vAlign w:val="center"/>
          </w:tcPr>
          <w:p w:rsidR="008061B1" w:rsidRPr="0053476F" w:rsidRDefault="008061B1" w:rsidP="006940D0">
            <w:pPr>
              <w:adjustRightInd w:val="0"/>
              <w:snapToGrid w:val="0"/>
              <w:jc w:val="center"/>
              <w:rPr>
                <w:rFonts w:ascii="Arial" w:hAnsi="Arial" w:cs="Arial"/>
                <w:color w:val="000000" w:themeColor="text1"/>
                <w:sz w:val="22"/>
                <w:szCs w:val="22"/>
              </w:rPr>
            </w:pPr>
            <w:r w:rsidRPr="0053476F">
              <w:rPr>
                <w:rFonts w:ascii="Arial" w:hAnsi="Arial" w:cs="Arial"/>
                <w:color w:val="000000" w:themeColor="text1"/>
                <w:sz w:val="22"/>
                <w:szCs w:val="22"/>
              </w:rPr>
              <w:t>3′X55</w:t>
            </w:r>
          </w:p>
        </w:tc>
        <w:tc>
          <w:tcPr>
            <w:tcW w:w="7555" w:type="dxa"/>
          </w:tcPr>
          <w:p w:rsidR="008061B1" w:rsidRPr="0053476F" w:rsidRDefault="008061B1" w:rsidP="006940D0">
            <w:pPr>
              <w:adjustRightInd w:val="0"/>
              <w:snapToGrid w:val="0"/>
              <w:rPr>
                <w:rFonts w:ascii="Arial" w:hAnsi="Arial" w:cs="Arial"/>
                <w:color w:val="000000" w:themeColor="text1"/>
                <w:sz w:val="22"/>
                <w:szCs w:val="22"/>
              </w:rPr>
            </w:pPr>
            <w:r w:rsidRPr="0053476F">
              <w:rPr>
                <w:rFonts w:ascii="Arial" w:hAnsi="Arial" w:cs="Arial"/>
                <w:color w:val="000000" w:themeColor="text1"/>
                <w:sz w:val="22"/>
                <w:szCs w:val="22"/>
              </w:rPr>
              <w:t>5′—GGUGG CUCCA UC/iAmC6T/UA GCCCU AGUCA CGGCU AGCUG UGAA/</w:t>
            </w:r>
            <w:proofErr w:type="spellStart"/>
            <w:r w:rsidRPr="0053476F">
              <w:rPr>
                <w:rFonts w:ascii="Arial" w:hAnsi="Arial" w:cs="Arial"/>
                <w:color w:val="000000" w:themeColor="text1"/>
                <w:sz w:val="22"/>
                <w:szCs w:val="22"/>
              </w:rPr>
              <w:t>iUniAmM</w:t>
            </w:r>
            <w:proofErr w:type="spellEnd"/>
            <w:r w:rsidRPr="0053476F">
              <w:rPr>
                <w:rFonts w:ascii="Arial" w:hAnsi="Arial" w:cs="Arial"/>
                <w:color w:val="000000" w:themeColor="text1"/>
                <w:sz w:val="22"/>
                <w:szCs w:val="22"/>
              </w:rPr>
              <w:t>/ AGGUC CGUGA GCCGC U—3′</w:t>
            </w:r>
          </w:p>
        </w:tc>
      </w:tr>
      <w:tr w:rsidR="008061B1" w:rsidRPr="0053476F" w:rsidTr="006940D0">
        <w:trPr>
          <w:jc w:val="center"/>
        </w:trPr>
        <w:tc>
          <w:tcPr>
            <w:tcW w:w="1795" w:type="dxa"/>
            <w:vAlign w:val="center"/>
          </w:tcPr>
          <w:p w:rsidR="008061B1" w:rsidRPr="0053476F" w:rsidRDefault="008061B1" w:rsidP="006940D0">
            <w:pPr>
              <w:adjustRightInd w:val="0"/>
              <w:snapToGrid w:val="0"/>
              <w:jc w:val="center"/>
              <w:rPr>
                <w:rFonts w:ascii="Arial" w:hAnsi="Arial" w:cs="Arial"/>
                <w:color w:val="000000" w:themeColor="text1"/>
                <w:sz w:val="22"/>
                <w:szCs w:val="22"/>
              </w:rPr>
            </w:pPr>
            <w:r w:rsidRPr="0053476F">
              <w:rPr>
                <w:rFonts w:ascii="Arial" w:hAnsi="Arial" w:cs="Arial"/>
                <w:color w:val="000000" w:themeColor="text1"/>
                <w:sz w:val="22"/>
                <w:szCs w:val="22"/>
              </w:rPr>
              <w:t>3′X49</w:t>
            </w:r>
          </w:p>
        </w:tc>
        <w:tc>
          <w:tcPr>
            <w:tcW w:w="7555" w:type="dxa"/>
          </w:tcPr>
          <w:p w:rsidR="008061B1" w:rsidRPr="0053476F" w:rsidRDefault="008061B1" w:rsidP="006940D0">
            <w:pPr>
              <w:adjustRightInd w:val="0"/>
              <w:snapToGrid w:val="0"/>
              <w:rPr>
                <w:rFonts w:ascii="Arial" w:hAnsi="Arial" w:cs="Arial"/>
                <w:color w:val="000000" w:themeColor="text1"/>
                <w:sz w:val="22"/>
                <w:szCs w:val="22"/>
              </w:rPr>
            </w:pPr>
            <w:r w:rsidRPr="0053476F">
              <w:rPr>
                <w:rFonts w:ascii="Arial" w:hAnsi="Arial" w:cs="Arial"/>
                <w:color w:val="000000" w:themeColor="text1"/>
                <w:sz w:val="22"/>
                <w:szCs w:val="22"/>
              </w:rPr>
              <w:t>5′—GGUGG CUCCA UC/iAmC6T/UA GCCCU AGUCA CGGCU AGCUG UGAA/</w:t>
            </w:r>
            <w:proofErr w:type="spellStart"/>
            <w:r w:rsidRPr="0053476F">
              <w:rPr>
                <w:rFonts w:ascii="Arial" w:hAnsi="Arial" w:cs="Arial"/>
                <w:color w:val="000000" w:themeColor="text1"/>
                <w:sz w:val="22"/>
                <w:szCs w:val="22"/>
              </w:rPr>
              <w:t>iUniAmM</w:t>
            </w:r>
            <w:proofErr w:type="spellEnd"/>
            <w:r w:rsidRPr="0053476F">
              <w:rPr>
                <w:rFonts w:ascii="Arial" w:hAnsi="Arial" w:cs="Arial"/>
                <w:color w:val="000000" w:themeColor="text1"/>
                <w:sz w:val="22"/>
                <w:szCs w:val="22"/>
              </w:rPr>
              <w:t>/ AGGUC CGUGA—3′</w:t>
            </w:r>
          </w:p>
        </w:tc>
      </w:tr>
    </w:tbl>
    <w:p w:rsidR="008061B1" w:rsidRPr="0053476F" w:rsidRDefault="008061B1" w:rsidP="008061B1">
      <w:pPr>
        <w:adjustRightInd w:val="0"/>
        <w:snapToGrid w:val="0"/>
        <w:jc w:val="center"/>
        <w:rPr>
          <w:rFonts w:ascii="Arial" w:hAnsi="Arial" w:cs="Arial"/>
          <w:b/>
          <w:bCs/>
          <w:color w:val="000000" w:themeColor="text1"/>
          <w:sz w:val="22"/>
          <w:szCs w:val="22"/>
        </w:rPr>
      </w:pPr>
    </w:p>
    <w:p w:rsidR="008061B1" w:rsidRPr="0053476F" w:rsidRDefault="008061B1" w:rsidP="008061B1">
      <w:pPr>
        <w:adjustRightInd w:val="0"/>
        <w:snapToGrid w:val="0"/>
        <w:rPr>
          <w:rFonts w:ascii="Arial" w:hAnsi="Arial" w:cs="Arial"/>
          <w:color w:val="000000" w:themeColor="text1"/>
          <w:sz w:val="22"/>
          <w:szCs w:val="22"/>
        </w:rPr>
      </w:pPr>
      <w:r w:rsidRPr="0053476F">
        <w:rPr>
          <w:rFonts w:ascii="Arial" w:hAnsi="Arial" w:cs="Arial"/>
          <w:b/>
          <w:bCs/>
          <w:color w:val="000000" w:themeColor="text1"/>
          <w:sz w:val="22"/>
          <w:szCs w:val="22"/>
        </w:rPr>
        <w:t>Table S2:</w:t>
      </w:r>
      <w:r w:rsidRPr="0053476F">
        <w:rPr>
          <w:rFonts w:ascii="Arial" w:hAnsi="Arial" w:cs="Arial"/>
          <w:color w:val="000000" w:themeColor="text1"/>
          <w:sz w:val="22"/>
          <w:szCs w:val="22"/>
        </w:rPr>
        <w:t xml:space="preserve"> </w:t>
      </w:r>
      <w:r w:rsidRPr="0053476F">
        <w:rPr>
          <w:rFonts w:ascii="Arial" w:hAnsi="Arial" w:cs="Arial"/>
          <w:b/>
          <w:bCs/>
          <w:color w:val="000000" w:themeColor="text1"/>
          <w:sz w:val="22"/>
          <w:szCs w:val="22"/>
        </w:rPr>
        <w:t>Names and sequences of oligonucleotide fragments and RNA constructs.</w:t>
      </w:r>
      <w:r w:rsidRPr="0053476F">
        <w:rPr>
          <w:rFonts w:ascii="Arial" w:hAnsi="Arial" w:cs="Arial"/>
          <w:color w:val="000000" w:themeColor="text1"/>
          <w:sz w:val="22"/>
          <w:szCs w:val="22"/>
        </w:rPr>
        <w:t xml:space="preserve"> The sequences and modifications of the various RNA and DNA oligonucleotides are reported in the first 4 sequences. The last two are the sequences of our labeled, ligated oligo products.</w:t>
      </w:r>
    </w:p>
    <w:p w:rsidR="008061B1" w:rsidRDefault="008061B1" w:rsidP="008061B1">
      <w:pPr>
        <w:tabs>
          <w:tab w:val="left" w:pos="5929"/>
        </w:tabs>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Default="008061B1" w:rsidP="008061B1">
      <w:pPr>
        <w:rPr>
          <w:rFonts w:ascii="Arial" w:eastAsia="MS Gothic" w:hAnsi="Arial" w:cs="Arial"/>
          <w:color w:val="000000" w:themeColor="text1"/>
          <w:sz w:val="22"/>
          <w:szCs w:val="22"/>
          <w:lang w:eastAsia="ja-JP"/>
        </w:rPr>
      </w:pPr>
    </w:p>
    <w:p w:rsidR="008061B1" w:rsidRPr="008061B1" w:rsidRDefault="008061B1" w:rsidP="008061B1">
      <w:pPr>
        <w:rPr>
          <w:rFonts w:ascii="Arial" w:hAnsi="Arial" w:cs="Arial"/>
          <w:bCs/>
          <w:iCs/>
          <w:color w:val="000000" w:themeColor="text1"/>
          <w:sz w:val="22"/>
          <w:szCs w:val="22"/>
        </w:rPr>
      </w:pPr>
      <w:r w:rsidRPr="0053476F">
        <w:rPr>
          <w:rFonts w:ascii="Arial" w:hAnsi="Arial" w:cs="Arial"/>
          <w:b/>
          <w:bCs/>
          <w:iCs/>
          <w:color w:val="000000" w:themeColor="text1"/>
          <w:sz w:val="22"/>
          <w:szCs w:val="22"/>
        </w:rPr>
        <w:t>Figure S1</w:t>
      </w:r>
      <w:r w:rsidRPr="0053476F">
        <w:rPr>
          <w:rFonts w:ascii="Arial" w:hAnsi="Arial" w:cs="Arial"/>
          <w:bCs/>
          <w:iCs/>
          <w:color w:val="000000" w:themeColor="text1"/>
          <w:sz w:val="22"/>
          <w:szCs w:val="22"/>
        </w:rPr>
        <w:t xml:space="preserve">: </w:t>
      </w:r>
      <w:r w:rsidRPr="0053476F">
        <w:rPr>
          <w:rFonts w:ascii="Arial" w:hAnsi="Arial" w:cs="Arial"/>
          <w:b/>
          <w:iCs/>
          <w:color w:val="000000" w:themeColor="text1"/>
          <w:sz w:val="22"/>
          <w:szCs w:val="22"/>
        </w:rPr>
        <w:t>Monomeric status of 3′X55 and 3′X49. (a)</w:t>
      </w:r>
      <w:r w:rsidRPr="0053476F">
        <w:rPr>
          <w:rFonts w:ascii="Arial" w:hAnsi="Arial" w:cs="Arial"/>
          <w:bCs/>
          <w:iCs/>
          <w:color w:val="000000" w:themeColor="text1"/>
          <w:sz w:val="22"/>
          <w:szCs w:val="22"/>
        </w:rPr>
        <w:t xml:space="preserve"> 3′X55 and 3′X49 were measured under baseline experimental conditions with the monochromatic laser diodes set to operate in the pulsed mode at a frequency of 20 MHz, resulting in a pulsed interleaved excitation configuration that allows for accurate measurements of the sub-millisecond translational diffusion. Here we can see that the resulting histograms are experimentally indistinguishable</w:t>
      </w:r>
      <w:r w:rsidRPr="0053476F" w:rsidDel="006D2BB1">
        <w:rPr>
          <w:rFonts w:ascii="Arial" w:hAnsi="Arial" w:cs="Arial"/>
          <w:bCs/>
          <w:iCs/>
          <w:color w:val="000000" w:themeColor="text1"/>
          <w:sz w:val="22"/>
          <w:szCs w:val="22"/>
        </w:rPr>
        <w:t xml:space="preserve"> </w:t>
      </w:r>
      <w:r w:rsidRPr="0053476F">
        <w:rPr>
          <w:rFonts w:ascii="Arial" w:hAnsi="Arial" w:cs="Arial"/>
          <w:bCs/>
          <w:iCs/>
          <w:color w:val="000000" w:themeColor="text1"/>
          <w:sz w:val="22"/>
          <w:szCs w:val="22"/>
        </w:rPr>
        <w:t>from those generated using the ALEX configuration outlined in the main text</w:t>
      </w:r>
      <w:r w:rsidRPr="0053476F">
        <w:rPr>
          <w:rFonts w:ascii="Arial" w:hAnsi="Arial" w:cs="Arial"/>
          <w:b/>
          <w:iCs/>
          <w:color w:val="000000" w:themeColor="text1"/>
          <w:sz w:val="22"/>
          <w:szCs w:val="22"/>
        </w:rPr>
        <w:t xml:space="preserve"> </w:t>
      </w:r>
      <w:r w:rsidRPr="0053476F">
        <w:rPr>
          <w:rFonts w:ascii="Arial" w:hAnsi="Arial" w:cs="Arial"/>
          <w:bCs/>
          <w:iCs/>
          <w:color w:val="000000" w:themeColor="text1"/>
          <w:sz w:val="22"/>
          <w:szCs w:val="22"/>
        </w:rPr>
        <w:t>(</w:t>
      </w:r>
      <w:r w:rsidRPr="0053476F">
        <w:rPr>
          <w:rFonts w:ascii="Arial" w:hAnsi="Arial" w:cs="Arial"/>
          <w:b/>
          <w:iCs/>
          <w:color w:val="000000" w:themeColor="text1"/>
          <w:sz w:val="22"/>
          <w:szCs w:val="22"/>
        </w:rPr>
        <w:t>fig 4a</w:t>
      </w:r>
      <w:r w:rsidRPr="0053476F">
        <w:rPr>
          <w:rFonts w:ascii="Arial" w:hAnsi="Arial" w:cs="Arial"/>
          <w:bCs/>
          <w:iCs/>
          <w:color w:val="000000" w:themeColor="text1"/>
          <w:sz w:val="22"/>
          <w:szCs w:val="22"/>
        </w:rPr>
        <w:t>). Notably, the mean diffusion times (</w:t>
      </w:r>
      <w:r w:rsidRPr="0053476F">
        <w:rPr>
          <w:rFonts w:ascii="Arial" w:hAnsi="Arial" w:cs="Arial"/>
          <w:bCs/>
          <w:iCs/>
          <w:color w:val="000000" w:themeColor="text1"/>
          <w:sz w:val="22"/>
          <w:szCs w:val="22"/>
        </w:rPr>
        <w:sym w:font="Symbol" w:char="F074"/>
      </w:r>
      <w:r w:rsidRPr="0053476F">
        <w:rPr>
          <w:rFonts w:ascii="Arial" w:hAnsi="Arial" w:cs="Arial"/>
          <w:bCs/>
          <w:iCs/>
          <w:color w:val="000000" w:themeColor="text1"/>
          <w:sz w:val="22"/>
          <w:szCs w:val="22"/>
          <w:vertAlign w:val="subscript"/>
        </w:rPr>
        <w:t>D</w:t>
      </w:r>
      <w:r w:rsidRPr="0053476F">
        <w:rPr>
          <w:rFonts w:ascii="Arial" w:hAnsi="Arial" w:cs="Arial"/>
          <w:bCs/>
          <w:iCs/>
          <w:color w:val="000000" w:themeColor="text1"/>
          <w:sz w:val="22"/>
          <w:szCs w:val="22"/>
        </w:rPr>
        <w:t xml:space="preserve">) of both samples are quite similar suggesting </w:t>
      </w:r>
      <w:r w:rsidRPr="0053476F">
        <w:rPr>
          <w:color w:val="000000" w:themeColor="text1"/>
        </w:rPr>
        <w:t>that both species have roughly the same hydrodynamic radius</w:t>
      </w:r>
      <w:r w:rsidRPr="0053476F">
        <w:rPr>
          <w:rFonts w:ascii="Arial" w:hAnsi="Arial" w:cs="Arial"/>
          <w:bCs/>
          <w:iCs/>
          <w:color w:val="000000" w:themeColor="text1"/>
          <w:sz w:val="22"/>
          <w:szCs w:val="22"/>
        </w:rPr>
        <w:t xml:space="preserve">, and thus oligomeric status, despite adopting different conformations. </w:t>
      </w:r>
      <w:r w:rsidRPr="0053476F">
        <w:rPr>
          <w:rFonts w:ascii="Arial" w:hAnsi="Arial" w:cs="Arial"/>
          <w:b/>
          <w:iCs/>
          <w:color w:val="000000" w:themeColor="text1"/>
          <w:sz w:val="22"/>
          <w:szCs w:val="22"/>
        </w:rPr>
        <w:t>(b)</w:t>
      </w:r>
      <w:r w:rsidRPr="0053476F">
        <w:rPr>
          <w:rFonts w:ascii="Arial" w:hAnsi="Arial" w:cs="Arial"/>
          <w:bCs/>
          <w:iCs/>
          <w:color w:val="000000" w:themeColor="text1"/>
          <w:sz w:val="22"/>
          <w:szCs w:val="22"/>
        </w:rPr>
        <w:t xml:space="preserve"> Under baseline experimental conditions, the transfer efficiency histograms of 3′X55 refolded (</w:t>
      </w:r>
      <w:r w:rsidRPr="0053476F">
        <w:rPr>
          <w:rFonts w:ascii="Arial" w:hAnsi="Arial" w:cs="Arial"/>
          <w:iCs/>
          <w:color w:val="000000" w:themeColor="text1"/>
          <w:sz w:val="22"/>
          <w:szCs w:val="22"/>
        </w:rPr>
        <w:t>incubated at 95 °C for 10 minutes and allowed to cool back down to room temperature for an hour on the heating block</w:t>
      </w:r>
      <w:r w:rsidRPr="0053476F">
        <w:rPr>
          <w:rFonts w:ascii="Arial" w:hAnsi="Arial" w:cs="Arial"/>
          <w:bCs/>
          <w:iCs/>
          <w:color w:val="000000" w:themeColor="text1"/>
          <w:sz w:val="22"/>
          <w:szCs w:val="22"/>
        </w:rPr>
        <w:t xml:space="preserve">) at 100 </w:t>
      </w:r>
      <w:proofErr w:type="spellStart"/>
      <w:r w:rsidRPr="0053476F">
        <w:rPr>
          <w:rFonts w:ascii="Arial" w:hAnsi="Arial" w:cs="Arial"/>
          <w:bCs/>
          <w:iCs/>
          <w:color w:val="000000" w:themeColor="text1"/>
          <w:sz w:val="22"/>
          <w:szCs w:val="22"/>
        </w:rPr>
        <w:t>pM</w:t>
      </w:r>
      <w:proofErr w:type="spellEnd"/>
      <w:r w:rsidRPr="0053476F">
        <w:rPr>
          <w:rFonts w:ascii="Arial" w:hAnsi="Arial" w:cs="Arial"/>
          <w:bCs/>
          <w:iCs/>
          <w:color w:val="000000" w:themeColor="text1"/>
          <w:sz w:val="22"/>
          <w:szCs w:val="22"/>
        </w:rPr>
        <w:t xml:space="preserve"> are experimentally indistinguishable from those generated when 3′X55 is refolded at 10 </w:t>
      </w:r>
      <w:proofErr w:type="spellStart"/>
      <w:r w:rsidRPr="0053476F">
        <w:rPr>
          <w:rFonts w:ascii="Arial" w:hAnsi="Arial" w:cs="Arial"/>
          <w:bCs/>
          <w:iCs/>
          <w:color w:val="000000" w:themeColor="text1"/>
          <w:sz w:val="22"/>
          <w:szCs w:val="22"/>
        </w:rPr>
        <w:t>nM</w:t>
      </w:r>
      <w:proofErr w:type="spellEnd"/>
      <w:r w:rsidRPr="0053476F">
        <w:rPr>
          <w:rFonts w:ascii="Arial" w:hAnsi="Arial" w:cs="Arial"/>
          <w:bCs/>
          <w:iCs/>
          <w:color w:val="000000" w:themeColor="text1"/>
          <w:sz w:val="22"/>
          <w:szCs w:val="22"/>
        </w:rPr>
        <w:t xml:space="preserve"> (see </w:t>
      </w:r>
      <w:r w:rsidRPr="0053476F">
        <w:rPr>
          <w:rFonts w:ascii="Arial" w:hAnsi="Arial" w:cs="Arial"/>
          <w:b/>
          <w:iCs/>
          <w:color w:val="000000" w:themeColor="text1"/>
          <w:sz w:val="22"/>
          <w:szCs w:val="22"/>
        </w:rPr>
        <w:t>MATERIALS AND METHODS</w:t>
      </w:r>
      <w:r w:rsidRPr="0053476F">
        <w:rPr>
          <w:rFonts w:ascii="Arial" w:hAnsi="Arial" w:cs="Arial"/>
          <w:bCs/>
          <w:iCs/>
          <w:color w:val="000000" w:themeColor="text1"/>
          <w:sz w:val="22"/>
          <w:szCs w:val="22"/>
        </w:rPr>
        <w:t>).</w:t>
      </w:r>
    </w:p>
    <w:p w:rsidR="008061B1" w:rsidRDefault="008061B1" w:rsidP="008061B1">
      <w:pPr>
        <w:rPr>
          <w:rFonts w:ascii="Arial" w:hAnsi="Arial" w:cs="Arial"/>
          <w:iCs/>
          <w:color w:val="000000" w:themeColor="text1"/>
          <w:sz w:val="22"/>
          <w:szCs w:val="22"/>
        </w:rPr>
      </w:pPr>
    </w:p>
    <w:p w:rsidR="008061B1" w:rsidRPr="0053476F" w:rsidRDefault="008061B1" w:rsidP="008061B1">
      <w:pPr>
        <w:adjustRightInd w:val="0"/>
        <w:snapToGrid w:val="0"/>
        <w:jc w:val="center"/>
        <w:rPr>
          <w:rFonts w:ascii="Arial" w:hAnsi="Arial" w:cs="Arial"/>
          <w:color w:val="000000" w:themeColor="text1"/>
          <w:sz w:val="22"/>
          <w:szCs w:val="22"/>
        </w:rPr>
      </w:pPr>
    </w:p>
    <w:p w:rsidR="008061B1" w:rsidRPr="0053476F" w:rsidRDefault="008061B1" w:rsidP="008061B1">
      <w:pPr>
        <w:adjustRightInd w:val="0"/>
        <w:snapToGrid w:val="0"/>
        <w:rPr>
          <w:rFonts w:ascii="Arial" w:hAnsi="Arial" w:cs="Arial"/>
          <w:color w:val="000000" w:themeColor="text1"/>
          <w:sz w:val="22"/>
          <w:szCs w:val="22"/>
        </w:rPr>
      </w:pPr>
      <w:r w:rsidRPr="0053476F">
        <w:rPr>
          <w:rFonts w:ascii="Arial" w:hAnsi="Arial" w:cs="Arial"/>
          <w:b/>
          <w:bCs/>
          <w:color w:val="000000" w:themeColor="text1"/>
          <w:sz w:val="22"/>
          <w:szCs w:val="22"/>
        </w:rPr>
        <w:t>Figure S2:</w:t>
      </w:r>
      <w:r w:rsidRPr="0053476F">
        <w:rPr>
          <w:rFonts w:ascii="Arial" w:hAnsi="Arial" w:cs="Arial"/>
          <w:color w:val="000000" w:themeColor="text1"/>
          <w:sz w:val="22"/>
          <w:szCs w:val="22"/>
        </w:rPr>
        <w:t xml:space="preserve"> </w:t>
      </w:r>
      <w:r w:rsidRPr="0053476F">
        <w:rPr>
          <w:rFonts w:ascii="Arial" w:hAnsi="Arial" w:cs="Arial"/>
          <w:b/>
          <w:bCs/>
          <w:color w:val="000000" w:themeColor="text1"/>
          <w:sz w:val="22"/>
          <w:szCs w:val="22"/>
        </w:rPr>
        <w:t>Consensus and reference sequences for 3′X</w:t>
      </w:r>
      <w:r w:rsidRPr="0053476F">
        <w:rPr>
          <w:rFonts w:ascii="Arial" w:hAnsi="Arial" w:cs="Arial"/>
          <w:color w:val="000000" w:themeColor="text1"/>
          <w:sz w:val="22"/>
          <w:szCs w:val="22"/>
        </w:rPr>
        <w:t>. The only difference between the two is at position 55, where the reference sequence has a U, which occurs in 19% of all sequences, whereas the consensus sequence contains an A, which appears in 81% of all sequences.</w:t>
      </w:r>
    </w:p>
    <w:p w:rsidR="008061B1" w:rsidRDefault="008061B1" w:rsidP="008061B1">
      <w:pPr>
        <w:adjustRightInd w:val="0"/>
        <w:snapToGrid w:val="0"/>
        <w:rPr>
          <w:rFonts w:ascii="Arial" w:hAnsi="Arial" w:cs="Arial"/>
          <w:color w:val="000000" w:themeColor="text1"/>
          <w:sz w:val="22"/>
          <w:szCs w:val="22"/>
        </w:rPr>
      </w:pPr>
    </w:p>
    <w:p w:rsidR="008061B1" w:rsidRPr="0053476F" w:rsidRDefault="008061B1" w:rsidP="008061B1">
      <w:pPr>
        <w:adjustRightInd w:val="0"/>
        <w:snapToGrid w:val="0"/>
        <w:jc w:val="center"/>
        <w:rPr>
          <w:rFonts w:ascii="Arial" w:hAnsi="Arial" w:cs="Arial"/>
          <w:color w:val="000000" w:themeColor="text1"/>
          <w:sz w:val="22"/>
          <w:szCs w:val="22"/>
        </w:rPr>
      </w:pPr>
    </w:p>
    <w:p w:rsidR="008061B1" w:rsidRDefault="008061B1" w:rsidP="008061B1">
      <w:pPr>
        <w:adjustRightInd w:val="0"/>
        <w:snapToGrid w:val="0"/>
        <w:rPr>
          <w:rFonts w:ascii="Arial" w:hAnsi="Arial" w:cs="Arial"/>
          <w:color w:val="000000" w:themeColor="text1"/>
          <w:sz w:val="22"/>
          <w:szCs w:val="22"/>
        </w:rPr>
      </w:pPr>
      <w:r w:rsidRPr="0053476F">
        <w:rPr>
          <w:rFonts w:ascii="Arial" w:hAnsi="Arial" w:cs="Arial"/>
          <w:b/>
          <w:bCs/>
          <w:color w:val="000000" w:themeColor="text1"/>
          <w:sz w:val="22"/>
          <w:szCs w:val="22"/>
        </w:rPr>
        <w:t>Figure S3</w:t>
      </w:r>
      <w:r w:rsidRPr="0053476F">
        <w:rPr>
          <w:rFonts w:ascii="Arial" w:hAnsi="Arial" w:cs="Arial"/>
          <w:color w:val="000000" w:themeColor="text1"/>
          <w:sz w:val="22"/>
          <w:szCs w:val="22"/>
        </w:rPr>
        <w:t xml:space="preserve">: </w:t>
      </w:r>
      <w:r w:rsidRPr="0053476F">
        <w:rPr>
          <w:rFonts w:ascii="Arial" w:hAnsi="Arial" w:cs="Arial"/>
          <w:b/>
          <w:bCs/>
          <w:color w:val="000000" w:themeColor="text1"/>
          <w:sz w:val="22"/>
          <w:szCs w:val="22"/>
        </w:rPr>
        <w:t>RNA labeling chemistry.</w:t>
      </w:r>
      <w:r w:rsidRPr="0053476F">
        <w:rPr>
          <w:rFonts w:ascii="Arial" w:hAnsi="Arial" w:cs="Arial"/>
          <w:color w:val="000000" w:themeColor="text1"/>
          <w:sz w:val="22"/>
          <w:szCs w:val="22"/>
        </w:rPr>
        <w:t xml:space="preserve"> Amino-reactive N-</w:t>
      </w:r>
      <w:proofErr w:type="spellStart"/>
      <w:r w:rsidRPr="0053476F">
        <w:rPr>
          <w:rFonts w:ascii="Arial" w:hAnsi="Arial" w:cs="Arial"/>
          <w:color w:val="000000" w:themeColor="text1"/>
          <w:sz w:val="22"/>
          <w:szCs w:val="22"/>
        </w:rPr>
        <w:t>hydroxysuccinimide</w:t>
      </w:r>
      <w:proofErr w:type="spellEnd"/>
      <w:r w:rsidRPr="0053476F">
        <w:rPr>
          <w:rFonts w:ascii="Arial" w:hAnsi="Arial" w:cs="Arial"/>
          <w:color w:val="000000" w:themeColor="text1"/>
          <w:sz w:val="22"/>
          <w:szCs w:val="22"/>
        </w:rPr>
        <w:t xml:space="preserve"> functionalized Cy3B (donor; green) and CF660R (acceptor; red) fluorophores are conjugated via nucleophilic substitution reaction to the RNA oligos utilizing primary amines found on either residue 13 or a synthetic amino-modified linker located between residues 39 and 40.</w:t>
      </w:r>
    </w:p>
    <w:p w:rsidR="008061B1" w:rsidRDefault="008061B1" w:rsidP="008061B1">
      <w:pPr>
        <w:adjustRightInd w:val="0"/>
        <w:snapToGrid w:val="0"/>
        <w:rPr>
          <w:rFonts w:ascii="Arial" w:hAnsi="Arial" w:cs="Arial"/>
          <w:color w:val="000000" w:themeColor="text1"/>
          <w:sz w:val="22"/>
          <w:szCs w:val="22"/>
        </w:rPr>
      </w:pPr>
    </w:p>
    <w:p w:rsidR="008061B1" w:rsidRPr="0053476F" w:rsidRDefault="008061B1" w:rsidP="008061B1">
      <w:pPr>
        <w:adjustRightInd w:val="0"/>
        <w:snapToGrid w:val="0"/>
        <w:rPr>
          <w:rFonts w:ascii="Arial" w:hAnsi="Arial" w:cs="Arial"/>
          <w:b/>
          <w:bCs/>
          <w:color w:val="000000" w:themeColor="text1"/>
          <w:sz w:val="22"/>
          <w:szCs w:val="22"/>
        </w:rPr>
      </w:pPr>
    </w:p>
    <w:p w:rsidR="008061B1" w:rsidRDefault="008061B1" w:rsidP="008061B1">
      <w:pPr>
        <w:adjustRightInd w:val="0"/>
        <w:snapToGrid w:val="0"/>
        <w:rPr>
          <w:rFonts w:ascii="Arial" w:hAnsi="Arial" w:cs="Arial"/>
          <w:color w:val="000000" w:themeColor="text1"/>
          <w:sz w:val="22"/>
          <w:szCs w:val="22"/>
        </w:rPr>
      </w:pPr>
      <w:r w:rsidRPr="0053476F">
        <w:rPr>
          <w:rFonts w:ascii="Arial" w:hAnsi="Arial" w:cs="Arial"/>
          <w:b/>
          <w:bCs/>
          <w:color w:val="000000" w:themeColor="text1"/>
          <w:sz w:val="22"/>
          <w:szCs w:val="22"/>
        </w:rPr>
        <w:t>Figure S4: Stoichiometry-transfer efficiency scatter plot.</w:t>
      </w:r>
      <w:r w:rsidRPr="0053476F">
        <w:rPr>
          <w:rFonts w:ascii="Arial" w:hAnsi="Arial" w:cs="Arial"/>
          <w:color w:val="000000" w:themeColor="text1"/>
          <w:sz w:val="22"/>
          <w:szCs w:val="22"/>
        </w:rPr>
        <w:t xml:space="preserve"> The </w:t>
      </w:r>
      <m:oMath>
        <m:r>
          <w:rPr>
            <w:rFonts w:ascii="Cambria Math" w:hAnsi="Cambria Math" w:cs="Arial"/>
            <w:color w:val="000000" w:themeColor="text1"/>
            <w:sz w:val="22"/>
            <w:szCs w:val="22"/>
          </w:rPr>
          <m:t>S</m:t>
        </m:r>
      </m:oMath>
      <w:r w:rsidRPr="0053476F">
        <w:rPr>
          <w:rFonts w:ascii="Arial" w:hAnsi="Arial" w:cs="Arial"/>
          <w:color w:val="000000" w:themeColor="text1"/>
          <w:sz w:val="22"/>
          <w:szCs w:val="22"/>
        </w:rPr>
        <w:t xml:space="preserve"> and </w:t>
      </w:r>
      <m:oMath>
        <m:r>
          <w:rPr>
            <w:rFonts w:ascii="Cambria Math" w:eastAsiaTheme="minorEastAsia" w:hAnsi="Cambria Math" w:cs="Arial"/>
            <w:color w:val="000000" w:themeColor="text1"/>
            <w:sz w:val="22"/>
            <w:szCs w:val="22"/>
          </w:rPr>
          <m:t>E</m:t>
        </m:r>
      </m:oMath>
      <w:r w:rsidRPr="0053476F">
        <w:rPr>
          <w:rFonts w:ascii="Arial" w:hAnsi="Arial" w:cs="Arial"/>
          <w:color w:val="000000" w:themeColor="text1"/>
          <w:sz w:val="22"/>
          <w:szCs w:val="22"/>
        </w:rPr>
        <w:t xml:space="preserve"> values for all bursts can be displayed on a scatter plot. This data can be projected onto each of the two axes to better assess the distribution of fluorophore stoichiometries and transfer efficiencies in the sample. Here we see that the vast majority (96%) of our RNAs are FRET-active and that they reside in two different populations.</w:t>
      </w:r>
    </w:p>
    <w:p w:rsidR="008061B1" w:rsidRDefault="008061B1" w:rsidP="008061B1">
      <w:pPr>
        <w:adjustRightInd w:val="0"/>
        <w:snapToGrid w:val="0"/>
        <w:rPr>
          <w:rFonts w:ascii="Arial" w:hAnsi="Arial" w:cs="Arial"/>
          <w:color w:val="000000" w:themeColor="text1"/>
          <w:sz w:val="22"/>
          <w:szCs w:val="22"/>
        </w:rPr>
      </w:pPr>
    </w:p>
    <w:p w:rsidR="008061B1" w:rsidRDefault="008061B1" w:rsidP="008061B1">
      <w:pPr>
        <w:adjustRightInd w:val="0"/>
        <w:snapToGrid w:val="0"/>
        <w:rPr>
          <w:rFonts w:ascii="Arial" w:hAnsi="Arial" w:cs="Arial"/>
          <w:color w:val="000000" w:themeColor="text1"/>
          <w:sz w:val="22"/>
          <w:szCs w:val="22"/>
        </w:rPr>
      </w:pPr>
    </w:p>
    <w:p w:rsidR="008061B1" w:rsidRDefault="008061B1" w:rsidP="008061B1">
      <w:pPr>
        <w:adjustRightInd w:val="0"/>
        <w:snapToGrid w:val="0"/>
        <w:rPr>
          <w:rFonts w:ascii="Arial" w:hAnsi="Arial" w:cs="Arial"/>
          <w:color w:val="000000" w:themeColor="text1"/>
          <w:sz w:val="22"/>
          <w:szCs w:val="22"/>
        </w:rPr>
      </w:pPr>
      <w:r w:rsidRPr="0053476F">
        <w:rPr>
          <w:rFonts w:ascii="Arial" w:eastAsiaTheme="minorEastAsia" w:hAnsi="Arial" w:cs="Arial"/>
          <w:b/>
          <w:bCs/>
          <w:color w:val="000000" w:themeColor="text1"/>
          <w:sz w:val="22"/>
          <w:szCs w:val="22"/>
        </w:rPr>
        <w:t>Figure S5:</w:t>
      </w:r>
      <w:r w:rsidRPr="0053476F">
        <w:rPr>
          <w:rFonts w:ascii="Arial" w:eastAsiaTheme="minorEastAsia" w:hAnsi="Arial" w:cs="Arial"/>
          <w:color w:val="000000" w:themeColor="text1"/>
          <w:sz w:val="22"/>
          <w:szCs w:val="22"/>
        </w:rPr>
        <w:t xml:space="preserve"> </w:t>
      </w:r>
      <w:r w:rsidRPr="0053476F">
        <w:rPr>
          <w:rFonts w:ascii="Arial" w:eastAsiaTheme="minorEastAsia" w:hAnsi="Arial" w:cs="Arial"/>
          <w:b/>
          <w:bCs/>
          <w:color w:val="000000" w:themeColor="text1"/>
          <w:sz w:val="22"/>
          <w:szCs w:val="22"/>
        </w:rPr>
        <w:t>Recurrence analysis of single particles (RASP) to determine fitted parameters.</w:t>
      </w:r>
      <w:r w:rsidRPr="0053476F">
        <w:rPr>
          <w:rFonts w:ascii="Arial" w:eastAsiaTheme="minorEastAsia" w:hAnsi="Arial" w:cs="Arial"/>
          <w:color w:val="000000" w:themeColor="text1"/>
          <w:sz w:val="22"/>
          <w:szCs w:val="22"/>
        </w:rPr>
        <w:t xml:space="preserve"> </w:t>
      </w:r>
      <w:r w:rsidRPr="0053476F">
        <w:rPr>
          <w:rFonts w:ascii="Arial" w:eastAsiaTheme="minorEastAsia" w:hAnsi="Arial" w:cs="Arial"/>
          <w:b/>
          <w:bCs/>
          <w:color w:val="000000" w:themeColor="text1"/>
          <w:sz w:val="22"/>
          <w:szCs w:val="22"/>
        </w:rPr>
        <w:t>(a)</w:t>
      </w:r>
      <w:r w:rsidRPr="0053476F">
        <w:rPr>
          <w:rFonts w:ascii="Arial" w:eastAsiaTheme="minorEastAsia" w:hAnsi="Arial" w:cs="Arial"/>
          <w:color w:val="000000" w:themeColor="text1"/>
          <w:sz w:val="22"/>
          <w:szCs w:val="22"/>
        </w:rPr>
        <w:t xml:space="preserve"> RASP can be used to calculate the probability (</w:t>
      </w:r>
      <w:proofErr w:type="spellStart"/>
      <w:r w:rsidRPr="0053476F">
        <w:rPr>
          <w:rFonts w:ascii="Arial" w:eastAsiaTheme="minorEastAsia" w:hAnsi="Arial" w:cs="Arial"/>
          <w:i/>
          <w:iCs/>
          <w:color w:val="000000" w:themeColor="text1"/>
          <w:sz w:val="22"/>
          <w:szCs w:val="22"/>
        </w:rPr>
        <w:t>p</w:t>
      </w:r>
      <w:r w:rsidRPr="0053476F">
        <w:rPr>
          <w:rFonts w:ascii="Arial" w:eastAsiaTheme="minorEastAsia" w:hAnsi="Arial" w:cs="Arial"/>
          <w:i/>
          <w:iCs/>
          <w:color w:val="000000" w:themeColor="text1"/>
          <w:sz w:val="22"/>
          <w:szCs w:val="22"/>
          <w:vertAlign w:val="subscript"/>
        </w:rPr>
        <w:t>same</w:t>
      </w:r>
      <w:proofErr w:type="spellEnd"/>
      <w:r w:rsidRPr="0053476F">
        <w:rPr>
          <w:rFonts w:ascii="Arial" w:eastAsiaTheme="minorEastAsia" w:hAnsi="Arial" w:cs="Arial"/>
          <w:color w:val="000000" w:themeColor="text1"/>
          <w:sz w:val="22"/>
          <w:szCs w:val="22"/>
        </w:rPr>
        <w:t>) that the same molecule was responsible for proximal bursts within a specified time frame (</w:t>
      </w:r>
      <w:r w:rsidRPr="0053476F">
        <w:rPr>
          <w:rFonts w:ascii="Cambria Math" w:eastAsiaTheme="minorEastAsia" w:hAnsi="Cambria Math" w:cs="Arial"/>
          <w:color w:val="000000" w:themeColor="text1"/>
          <w:sz w:val="22"/>
          <w:szCs w:val="22"/>
        </w:rPr>
        <w:t>𝜏</w:t>
      </w:r>
      <w:r w:rsidRPr="0053476F">
        <w:rPr>
          <w:rFonts w:ascii="Arial" w:eastAsiaTheme="minorEastAsia" w:hAnsi="Arial" w:cs="Arial"/>
          <w:color w:val="000000" w:themeColor="text1"/>
          <w:sz w:val="22"/>
          <w:szCs w:val="22"/>
        </w:rPr>
        <w:t xml:space="preserve">). Under our single molecule conditions, if two high-quality bursts occur with one or fewer intervening bins (i.e., </w:t>
      </w:r>
      <w:r w:rsidRPr="0053476F">
        <w:rPr>
          <w:rFonts w:ascii="Cambria Math" w:eastAsiaTheme="minorEastAsia" w:hAnsi="Cambria Math" w:cs="Arial"/>
          <w:color w:val="000000" w:themeColor="text1"/>
          <w:sz w:val="22"/>
          <w:szCs w:val="22"/>
        </w:rPr>
        <w:t>𝜏</w:t>
      </w:r>
      <w:r w:rsidRPr="0053476F">
        <w:rPr>
          <w:rFonts w:ascii="Arial" w:eastAsiaTheme="minorEastAsia" w:hAnsi="Arial" w:cs="Arial"/>
          <w:color w:val="000000" w:themeColor="text1"/>
          <w:sz w:val="22"/>
          <w:szCs w:val="22"/>
        </w:rPr>
        <w:t xml:space="preserve"> = 2 </w:t>
      </w:r>
      <w:proofErr w:type="spellStart"/>
      <w:r w:rsidRPr="0053476F">
        <w:rPr>
          <w:rFonts w:ascii="Arial" w:eastAsiaTheme="minorEastAsia" w:hAnsi="Arial" w:cs="Arial"/>
          <w:color w:val="000000" w:themeColor="text1"/>
          <w:sz w:val="22"/>
          <w:szCs w:val="22"/>
        </w:rPr>
        <w:t>ms</w:t>
      </w:r>
      <w:proofErr w:type="spellEnd"/>
      <w:r w:rsidRPr="0053476F">
        <w:rPr>
          <w:rFonts w:ascii="Arial" w:eastAsiaTheme="minorEastAsia" w:hAnsi="Arial" w:cs="Arial"/>
          <w:color w:val="000000" w:themeColor="text1"/>
          <w:sz w:val="22"/>
          <w:szCs w:val="22"/>
        </w:rPr>
        <w:t xml:space="preserve">), we can say with roughly 88% confidence that they both arose from the same molecules. </w:t>
      </w:r>
      <w:r w:rsidRPr="0053476F">
        <w:rPr>
          <w:rFonts w:ascii="Arial" w:eastAsiaTheme="minorEastAsia" w:hAnsi="Arial" w:cs="Arial"/>
          <w:b/>
          <w:bCs/>
          <w:color w:val="000000" w:themeColor="text1"/>
          <w:sz w:val="22"/>
          <w:szCs w:val="22"/>
        </w:rPr>
        <w:t>(b)</w:t>
      </w:r>
      <w:r w:rsidRPr="0053476F">
        <w:rPr>
          <w:rFonts w:ascii="Arial" w:eastAsiaTheme="minorEastAsia" w:hAnsi="Arial" w:cs="Arial"/>
          <w:color w:val="000000" w:themeColor="text1"/>
          <w:sz w:val="22"/>
          <w:szCs w:val="22"/>
        </w:rPr>
        <w:t xml:space="preserve"> With this in mind, RASP can be used to select all bursts from an unbiased transfer efficiency histogram (</w:t>
      </w:r>
      <w:r w:rsidRPr="0053476F">
        <w:rPr>
          <w:rFonts w:ascii="Arial" w:eastAsiaTheme="minorEastAsia" w:hAnsi="Arial" w:cs="Arial"/>
          <w:i/>
          <w:iCs/>
          <w:color w:val="000000" w:themeColor="text1"/>
          <w:sz w:val="22"/>
          <w:szCs w:val="22"/>
        </w:rPr>
        <w:t>top</w:t>
      </w:r>
      <w:r w:rsidRPr="0053476F">
        <w:rPr>
          <w:rFonts w:ascii="Arial" w:eastAsiaTheme="minorEastAsia" w:hAnsi="Arial" w:cs="Arial"/>
          <w:color w:val="000000" w:themeColor="text1"/>
          <w:sz w:val="22"/>
          <w:szCs w:val="22"/>
        </w:rPr>
        <w:t xml:space="preserve">) from within a range of transfer efficiencies in addition to any other bursts that occurred within 2 </w:t>
      </w:r>
      <w:proofErr w:type="spellStart"/>
      <w:r w:rsidRPr="0053476F">
        <w:rPr>
          <w:rFonts w:ascii="Arial" w:eastAsiaTheme="minorEastAsia" w:hAnsi="Arial" w:cs="Arial"/>
          <w:color w:val="000000" w:themeColor="text1"/>
          <w:sz w:val="22"/>
          <w:szCs w:val="22"/>
        </w:rPr>
        <w:t>ms.</w:t>
      </w:r>
      <w:proofErr w:type="spellEnd"/>
      <w:r w:rsidRPr="0053476F">
        <w:rPr>
          <w:rFonts w:ascii="Arial" w:eastAsiaTheme="minorEastAsia" w:hAnsi="Arial" w:cs="Arial"/>
          <w:color w:val="000000" w:themeColor="text1"/>
          <w:sz w:val="22"/>
          <w:szCs w:val="22"/>
        </w:rPr>
        <w:t xml:space="preserve"> Doing so results in transfer efficiency histograms that are biased towards either the intermediate (</w:t>
      </w:r>
      <w:r w:rsidRPr="0053476F">
        <w:rPr>
          <w:rFonts w:ascii="Arial" w:eastAsiaTheme="minorEastAsia" w:hAnsi="Arial" w:cs="Arial"/>
          <w:i/>
          <w:iCs/>
          <w:color w:val="000000" w:themeColor="text1"/>
          <w:sz w:val="22"/>
          <w:szCs w:val="22"/>
        </w:rPr>
        <w:t>middle</w:t>
      </w:r>
      <w:r w:rsidRPr="0053476F">
        <w:rPr>
          <w:rFonts w:ascii="Arial" w:eastAsiaTheme="minorEastAsia" w:hAnsi="Arial" w:cs="Arial"/>
          <w:color w:val="000000" w:themeColor="text1"/>
          <w:sz w:val="22"/>
          <w:szCs w:val="22"/>
        </w:rPr>
        <w:t>) or high transfer efficiency population (</w:t>
      </w:r>
      <w:r w:rsidRPr="0053476F">
        <w:rPr>
          <w:rFonts w:ascii="Arial" w:eastAsiaTheme="minorEastAsia" w:hAnsi="Arial" w:cs="Arial"/>
          <w:i/>
          <w:iCs/>
          <w:color w:val="000000" w:themeColor="text1"/>
          <w:sz w:val="22"/>
          <w:szCs w:val="22"/>
        </w:rPr>
        <w:t>bottom</w:t>
      </w:r>
      <w:r w:rsidRPr="0053476F">
        <w:rPr>
          <w:rFonts w:ascii="Arial" w:eastAsiaTheme="minorEastAsia" w:hAnsi="Arial" w:cs="Arial"/>
          <w:color w:val="000000" w:themeColor="text1"/>
          <w:sz w:val="22"/>
          <w:szCs w:val="22"/>
        </w:rPr>
        <w:t>). A global analysis of these three histograms is used to get robust estimates for the fitted parameters associated with the two partially overlapping populations.</w:t>
      </w:r>
    </w:p>
    <w:p w:rsidR="008061B1" w:rsidRPr="0053476F" w:rsidRDefault="008061B1" w:rsidP="008061B1">
      <w:pPr>
        <w:adjustRightInd w:val="0"/>
        <w:snapToGrid w:val="0"/>
        <w:rPr>
          <w:rFonts w:ascii="Arial" w:hAnsi="Arial" w:cs="Arial"/>
          <w:color w:val="000000" w:themeColor="text1"/>
          <w:sz w:val="22"/>
          <w:szCs w:val="22"/>
        </w:rPr>
      </w:pPr>
    </w:p>
    <w:p w:rsidR="00F74D49" w:rsidRPr="008061B1" w:rsidRDefault="00F74D49">
      <w:pPr>
        <w:rPr>
          <w:rFonts w:ascii="Arial" w:eastAsia="MS Gothic" w:hAnsi="Arial" w:cs="Arial"/>
          <w:color w:val="000000" w:themeColor="text1"/>
          <w:sz w:val="22"/>
          <w:szCs w:val="22"/>
          <w:lang w:eastAsia="ja-JP"/>
        </w:rPr>
      </w:pPr>
    </w:p>
    <w:sectPr w:rsidR="00F74D49" w:rsidRPr="0080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B1"/>
    <w:rsid w:val="0038590F"/>
    <w:rsid w:val="008061B1"/>
    <w:rsid w:val="00F7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3806A"/>
  <w15:chartTrackingRefBased/>
  <w15:docId w15:val="{79F57537-5CD0-404E-9DB7-CD15469E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Jarski</dc:creator>
  <cp:keywords/>
  <dc:description/>
  <cp:lastModifiedBy>Deborah Jarski</cp:lastModifiedBy>
  <cp:revision>1</cp:revision>
  <dcterms:created xsi:type="dcterms:W3CDTF">2024-06-04T15:00:00Z</dcterms:created>
  <dcterms:modified xsi:type="dcterms:W3CDTF">2024-06-04T15:10:00Z</dcterms:modified>
</cp:coreProperties>
</file>