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BAEB" w14:textId="184CB2AE" w:rsidR="00045BB2" w:rsidRPr="00817833" w:rsidRDefault="00045BB2" w:rsidP="00045BB2">
      <w:pPr>
        <w:pStyle w:val="ListParagraph"/>
        <w:ind w:left="0"/>
        <w:jc w:val="both"/>
        <w:rPr>
          <w:rFonts w:ascii="Helvetica" w:hAnsi="Helvetica" w:cs="Times New Roman"/>
        </w:rPr>
      </w:pPr>
      <w:r w:rsidRPr="00817833">
        <w:rPr>
          <w:rFonts w:ascii="Helvetica" w:hAnsi="Helvetica" w:cs="Times New Roman"/>
          <w:b/>
          <w:bCs/>
        </w:rPr>
        <w:t>Supplementary Figure 1.</w:t>
      </w:r>
      <w:r w:rsidRPr="00817833">
        <w:rPr>
          <w:rFonts w:ascii="Helvetica" w:hAnsi="Helvetica" w:cs="Times New Roman"/>
        </w:rPr>
        <w:t xml:space="preserve"> </w:t>
      </w:r>
      <w:r w:rsidRPr="00817833">
        <w:rPr>
          <w:rFonts w:ascii="Helvetica" w:hAnsi="Helvetica" w:cs="Times New Roman"/>
          <w:b/>
          <w:bCs/>
        </w:rPr>
        <w:t>(A)</w:t>
      </w:r>
      <w:r w:rsidRPr="00817833">
        <w:rPr>
          <w:rFonts w:ascii="Helvetica" w:hAnsi="Helvetica" w:cs="Times New Roman"/>
        </w:rPr>
        <w:t xml:space="preserve"> Violin plot for HART ratio in </w:t>
      </w:r>
      <w:r w:rsidR="00F920CC">
        <w:rPr>
          <w:rFonts w:ascii="Helvetica" w:hAnsi="Helvetica" w:cs="Times New Roman"/>
        </w:rPr>
        <w:t>HCT116</w:t>
      </w:r>
      <w:r w:rsidRPr="00817833">
        <w:rPr>
          <w:rFonts w:ascii="Helvetica" w:hAnsi="Helvetica" w:cs="Times New Roman"/>
        </w:rPr>
        <w:t xml:space="preserve"> degron cells analyzed with flow cytometry for the experiment in Fi</w:t>
      </w:r>
      <w:r w:rsidR="00BE235A">
        <w:rPr>
          <w:rFonts w:ascii="Helvetica" w:hAnsi="Helvetica" w:cs="Times New Roman"/>
        </w:rPr>
        <w:t>g.</w:t>
      </w:r>
      <w:r w:rsidRPr="00817833">
        <w:rPr>
          <w:rFonts w:ascii="Helvetica" w:hAnsi="Helvetica" w:cs="Times New Roman"/>
        </w:rPr>
        <w:t xml:space="preserve"> 1</w:t>
      </w:r>
      <w:r w:rsidR="00BB02C5">
        <w:rPr>
          <w:rFonts w:ascii="Helvetica" w:hAnsi="Helvetica" w:cs="Times New Roman"/>
        </w:rPr>
        <w:t>E</w:t>
      </w:r>
      <w:r w:rsidRPr="00817833">
        <w:rPr>
          <w:rFonts w:ascii="Helvetica" w:hAnsi="Helvetica" w:cs="Times New Roman"/>
        </w:rPr>
        <w:t xml:space="preserve">. </w:t>
      </w:r>
      <w:r w:rsidR="00F920CC">
        <w:rPr>
          <w:rFonts w:ascii="Helvetica" w:hAnsi="Helvetica" w:cs="Times New Roman"/>
        </w:rPr>
        <w:t>HCT116</w:t>
      </w:r>
      <w:r w:rsidRPr="00817833">
        <w:rPr>
          <w:rFonts w:ascii="Helvetica" w:hAnsi="Helvetica" w:cs="Times New Roman"/>
        </w:rPr>
        <w:t xml:space="preserve"> degron cells were </w:t>
      </w:r>
      <w:r w:rsidR="005E36F4" w:rsidRPr="00817833">
        <w:rPr>
          <w:rFonts w:ascii="Helvetica" w:hAnsi="Helvetica" w:cs="Times New Roman"/>
        </w:rPr>
        <w:t xml:space="preserve">lentivirally </w:t>
      </w:r>
      <w:r w:rsidR="00072110" w:rsidRPr="00817833">
        <w:rPr>
          <w:rFonts w:ascii="Helvetica" w:hAnsi="Helvetica" w:cs="Times New Roman"/>
        </w:rPr>
        <w:t>transduced</w:t>
      </w:r>
      <w:r w:rsidRPr="00817833">
        <w:rPr>
          <w:rFonts w:ascii="Helvetica" w:hAnsi="Helvetica" w:cs="Times New Roman"/>
        </w:rPr>
        <w:t xml:space="preserve"> with HART constructs with various </w:t>
      </w:r>
      <w:r w:rsidR="0075255B">
        <w:rPr>
          <w:rFonts w:ascii="Helvetica" w:hAnsi="Helvetica" w:cs="Times New Roman"/>
        </w:rPr>
        <w:t>5′ UTR</w:t>
      </w:r>
      <w:r w:rsidRPr="00817833">
        <w:rPr>
          <w:rFonts w:ascii="Helvetica" w:hAnsi="Helvetica" w:cs="Times New Roman"/>
        </w:rPr>
        <w:t xml:space="preserve">s in front of mCherry. After 48 hours from the addition of either DMSO or auxin, which induces degradation of endogenous DDX3X, the fluorescent signal was measured by fluorescent cytometry. </w:t>
      </w:r>
      <w:r w:rsidR="0075255B" w:rsidRPr="00817833">
        <w:rPr>
          <w:rFonts w:ascii="Helvetica" w:hAnsi="Helvetica" w:cs="Times New Roman"/>
        </w:rPr>
        <w:t xml:space="preserve">The </w:t>
      </w:r>
      <w:r w:rsidR="0075255B">
        <w:rPr>
          <w:rFonts w:ascii="Helvetica" w:hAnsi="Helvetica" w:cs="Times New Roman"/>
        </w:rPr>
        <w:t xml:space="preserve">HART </w:t>
      </w:r>
      <w:r w:rsidR="0075255B" w:rsidRPr="00817833">
        <w:rPr>
          <w:rFonts w:ascii="Helvetica" w:hAnsi="Helvetica" w:cs="Times New Roman"/>
        </w:rPr>
        <w:t xml:space="preserve">ratio </w:t>
      </w:r>
      <w:r w:rsidR="0075255B">
        <w:rPr>
          <w:rFonts w:ascii="Helvetica" w:hAnsi="Helvetica" w:cs="Times New Roman"/>
        </w:rPr>
        <w:t>(</w:t>
      </w:r>
      <w:r w:rsidR="0075255B" w:rsidRPr="00817833">
        <w:rPr>
          <w:rFonts w:ascii="Helvetica" w:hAnsi="Helvetica" w:cs="Times New Roman"/>
        </w:rPr>
        <w:t>mCherry/</w:t>
      </w:r>
      <w:r w:rsidR="0075255B">
        <w:rPr>
          <w:rFonts w:ascii="Helvetica" w:hAnsi="Helvetica" w:cs="Times New Roman"/>
        </w:rPr>
        <w:t>eGFP)</w:t>
      </w:r>
      <w:r w:rsidRPr="00817833">
        <w:rPr>
          <w:rFonts w:ascii="Helvetica" w:hAnsi="Helvetica" w:cs="Times New Roman"/>
        </w:rPr>
        <w:t xml:space="preserve"> was calculated for each cell and plotted as a violin plot.</w:t>
      </w:r>
      <w:r w:rsidR="00E9581F">
        <w:rPr>
          <w:rFonts w:ascii="Helvetica" w:hAnsi="Helvetica" w:cs="Times New Roman"/>
        </w:rPr>
        <w:t xml:space="preserve"> </w:t>
      </w:r>
      <w:r w:rsidR="00BB02C5">
        <w:rPr>
          <w:rFonts w:ascii="Helvetica" w:hAnsi="Helvetica" w:cs="Times New Roman"/>
        </w:rPr>
        <w:t xml:space="preserve">Data was obtained in three separate experiments for a total of 9 replicates.  </w:t>
      </w:r>
      <w:r w:rsidR="00E9581F">
        <w:rPr>
          <w:rFonts w:ascii="Helvetica" w:hAnsi="Helvetica" w:cs="Times New Roman"/>
        </w:rPr>
        <w:t>(</w:t>
      </w:r>
      <w:r w:rsidR="00E9581F" w:rsidRPr="006205F7">
        <w:rPr>
          <w:rFonts w:ascii="Helvetica" w:hAnsi="Helvetica" w:cs="Times New Roman"/>
          <w:b/>
          <w:bCs/>
        </w:rPr>
        <w:t>B</w:t>
      </w:r>
      <w:r w:rsidR="00E9581F">
        <w:rPr>
          <w:rFonts w:ascii="Helvetica" w:hAnsi="Helvetica" w:cs="Times New Roman"/>
        </w:rPr>
        <w:t>)</w:t>
      </w:r>
      <w:r w:rsidRPr="00817833">
        <w:rPr>
          <w:rFonts w:ascii="Helvetica" w:hAnsi="Helvetica" w:cs="Times New Roman"/>
        </w:rPr>
        <w:t xml:space="preserve"> </w:t>
      </w:r>
      <w:r w:rsidR="00BB02C5">
        <w:rPr>
          <w:rFonts w:ascii="Helvetica" w:hAnsi="Helvetica" w:cs="Times New Roman"/>
        </w:rPr>
        <w:t xml:space="preserve">Same data as in S1A presented as a boxplot. The HART ratio was calculated for each cell and averaged across replicate wells. Data was obtained in three separate experiments for a total of 9 replicates.  </w:t>
      </w:r>
      <w:r w:rsidR="00BB02C5" w:rsidRPr="00817833">
        <w:rPr>
          <w:rFonts w:ascii="Helvetica" w:hAnsi="Helvetica" w:cs="Times New Roman"/>
        </w:rPr>
        <w:t xml:space="preserve">Statistical significance was determined by unpaired </w:t>
      </w:r>
      <w:r w:rsidR="00BB02C5" w:rsidRPr="00817833">
        <w:rPr>
          <w:rFonts w:ascii="Helvetica" w:hAnsi="Helvetica" w:cs="Times New Roman"/>
          <w:i/>
          <w:iCs/>
        </w:rPr>
        <w:t>t</w:t>
      </w:r>
      <w:r w:rsidR="00BB02C5" w:rsidRPr="00817833">
        <w:rPr>
          <w:rFonts w:ascii="Helvetica" w:hAnsi="Helvetica" w:cs="Times New Roman"/>
        </w:rPr>
        <w:t xml:space="preserve">-test: ns: p &gt; 0.05, *: p &lt;= 0.05, **: p &lt;= 0.01, ***: p &lt;= 0.001, ****: p &lt;= 0.0001. </w:t>
      </w:r>
      <w:r w:rsidRPr="00817833">
        <w:rPr>
          <w:rFonts w:ascii="Helvetica" w:hAnsi="Helvetica" w:cs="Times New Roman"/>
          <w:b/>
          <w:bCs/>
        </w:rPr>
        <w:t>(</w:t>
      </w:r>
      <w:r w:rsidR="00E9581F">
        <w:rPr>
          <w:rFonts w:ascii="Helvetica" w:hAnsi="Helvetica" w:cs="Times New Roman"/>
          <w:b/>
          <w:bCs/>
        </w:rPr>
        <w:t>C</w:t>
      </w:r>
      <w:r w:rsidRPr="00817833">
        <w:rPr>
          <w:rFonts w:ascii="Helvetica" w:hAnsi="Helvetica" w:cs="Times New Roman"/>
          <w:b/>
          <w:bCs/>
        </w:rPr>
        <w:t xml:space="preserve">) </w:t>
      </w:r>
      <w:r w:rsidRPr="00817833">
        <w:rPr>
          <w:rFonts w:ascii="Helvetica" w:hAnsi="Helvetica" w:cs="Times New Roman"/>
        </w:rPr>
        <w:t>Flow cytometry data for the mCherry channel for experiment in Fig</w:t>
      </w:r>
      <w:r w:rsidR="00BE235A">
        <w:rPr>
          <w:rFonts w:ascii="Helvetica" w:hAnsi="Helvetica" w:cs="Times New Roman"/>
        </w:rPr>
        <w:t>.</w:t>
      </w:r>
      <w:r w:rsidRPr="00817833">
        <w:rPr>
          <w:rFonts w:ascii="Helvetica" w:hAnsi="Helvetica" w:cs="Times New Roman"/>
        </w:rPr>
        <w:t xml:space="preserve"> 1B. The raw data for the 561nm 50mW laser, YG C detector (corresponding to mCherry) for each cell was plotted and the mean was calculated and plotted as a vertical line. </w:t>
      </w:r>
      <w:r w:rsidRPr="00817833">
        <w:rPr>
          <w:rFonts w:ascii="Helvetica" w:hAnsi="Helvetica" w:cs="Times New Roman"/>
          <w:b/>
          <w:bCs/>
        </w:rPr>
        <w:t>(</w:t>
      </w:r>
      <w:r w:rsidR="00E9581F">
        <w:rPr>
          <w:rFonts w:ascii="Helvetica" w:hAnsi="Helvetica" w:cs="Times New Roman"/>
          <w:b/>
          <w:bCs/>
        </w:rPr>
        <w:t>D</w:t>
      </w:r>
      <w:r w:rsidRPr="00817833">
        <w:rPr>
          <w:rFonts w:ascii="Helvetica" w:hAnsi="Helvetica" w:cs="Times New Roman"/>
          <w:b/>
          <w:bCs/>
        </w:rPr>
        <w:t xml:space="preserve">) </w:t>
      </w:r>
      <w:r w:rsidRPr="00817833">
        <w:rPr>
          <w:rFonts w:ascii="Helvetica" w:hAnsi="Helvetica" w:cs="Times New Roman"/>
        </w:rPr>
        <w:t xml:space="preserve">Flow cytometry data for the </w:t>
      </w:r>
      <w:r w:rsidR="00F920CC">
        <w:rPr>
          <w:rFonts w:ascii="Helvetica" w:hAnsi="Helvetica" w:cs="Times New Roman"/>
        </w:rPr>
        <w:t>eGFP</w:t>
      </w:r>
      <w:r w:rsidRPr="00817833">
        <w:rPr>
          <w:rFonts w:ascii="Helvetica" w:hAnsi="Helvetica" w:cs="Times New Roman"/>
        </w:rPr>
        <w:t xml:space="preserve"> channel for cells in Fig</w:t>
      </w:r>
      <w:r w:rsidR="00BE235A">
        <w:rPr>
          <w:rFonts w:ascii="Helvetica" w:hAnsi="Helvetica" w:cs="Times New Roman"/>
        </w:rPr>
        <w:t>.</w:t>
      </w:r>
      <w:r w:rsidRPr="00817833">
        <w:rPr>
          <w:rFonts w:ascii="Helvetica" w:hAnsi="Helvetica" w:cs="Times New Roman"/>
        </w:rPr>
        <w:t xml:space="preserve"> 1B. The raw data for the 488nm 60mW laser, Blue C detector (corresponding to </w:t>
      </w:r>
      <w:r w:rsidR="00F920CC">
        <w:rPr>
          <w:rFonts w:ascii="Helvetica" w:hAnsi="Helvetica" w:cs="Times New Roman"/>
        </w:rPr>
        <w:t>eGFP</w:t>
      </w:r>
      <w:r w:rsidRPr="00817833">
        <w:rPr>
          <w:rFonts w:ascii="Helvetica" w:hAnsi="Helvetica" w:cs="Times New Roman"/>
        </w:rPr>
        <w:t>) for each cell was plotted and the mean was calculated and plotted as a vertical line.</w:t>
      </w:r>
      <w:r w:rsidR="00E9581F">
        <w:rPr>
          <w:rFonts w:ascii="Helvetica" w:hAnsi="Helvetica" w:cs="Times New Roman"/>
        </w:rPr>
        <w:t xml:space="preserve"> </w:t>
      </w:r>
      <w:r w:rsidR="00E9581F" w:rsidRPr="009B0A70">
        <w:rPr>
          <w:rFonts w:ascii="Helvetica" w:hAnsi="Helvetica" w:cs="Times New Roman"/>
          <w:b/>
          <w:bCs/>
        </w:rPr>
        <w:t>(E)</w:t>
      </w:r>
      <w:r w:rsidR="00E9581F">
        <w:rPr>
          <w:rFonts w:ascii="Helvetica" w:hAnsi="Helvetica" w:cs="Times New Roman"/>
        </w:rPr>
        <w:t xml:space="preserve"> </w:t>
      </w:r>
      <w:r w:rsidR="00692496">
        <w:rPr>
          <w:rFonts w:ascii="Helvetica" w:hAnsi="Helvetica" w:cs="Times New Roman"/>
        </w:rPr>
        <w:t>HART ratio in cells containing a</w:t>
      </w:r>
      <w:r w:rsidR="009B0A70">
        <w:rPr>
          <w:rFonts w:ascii="Helvetica" w:hAnsi="Helvetica" w:cs="Times New Roman"/>
        </w:rPr>
        <w:t>n</w:t>
      </w:r>
      <w:r w:rsidR="00692496">
        <w:rPr>
          <w:rFonts w:ascii="Helvetica" w:hAnsi="Helvetica" w:cs="Times New Roman"/>
        </w:rPr>
        <w:t xml:space="preserve"> 83 nt control 5′ UTR. HCT116</w:t>
      </w:r>
      <w:r w:rsidR="00692496" w:rsidRPr="00817833">
        <w:rPr>
          <w:rFonts w:ascii="Helvetica" w:hAnsi="Helvetica" w:cs="Times New Roman"/>
        </w:rPr>
        <w:t xml:space="preserve"> degron cells were lentivirally </w:t>
      </w:r>
      <w:r w:rsidR="00692496">
        <w:rPr>
          <w:rFonts w:ascii="Helvetica" w:hAnsi="Helvetica" w:cs="Times New Roman"/>
        </w:rPr>
        <w:t>transduced</w:t>
      </w:r>
      <w:r w:rsidR="00692496" w:rsidRPr="00817833">
        <w:rPr>
          <w:rFonts w:ascii="Helvetica" w:hAnsi="Helvetica" w:cs="Times New Roman"/>
        </w:rPr>
        <w:t xml:space="preserve"> with HART constructs with </w:t>
      </w:r>
      <w:r w:rsidR="00692496">
        <w:rPr>
          <w:rFonts w:ascii="Helvetica" w:hAnsi="Helvetica" w:cs="Times New Roman"/>
        </w:rPr>
        <w:t>indicated</w:t>
      </w:r>
      <w:r w:rsidR="00692496" w:rsidRPr="00817833">
        <w:rPr>
          <w:rFonts w:ascii="Helvetica" w:hAnsi="Helvetica" w:cs="Times New Roman"/>
        </w:rPr>
        <w:t xml:space="preserve"> </w:t>
      </w:r>
      <w:r w:rsidR="00692496">
        <w:rPr>
          <w:rFonts w:ascii="Helvetica" w:hAnsi="Helvetica" w:cs="Times New Roman"/>
        </w:rPr>
        <w:t>5′ UTR</w:t>
      </w:r>
      <w:r w:rsidR="00692496" w:rsidRPr="00817833">
        <w:rPr>
          <w:rFonts w:ascii="Helvetica" w:hAnsi="Helvetica" w:cs="Times New Roman"/>
        </w:rPr>
        <w:t xml:space="preserve">s </w:t>
      </w:r>
      <w:r w:rsidR="00692496">
        <w:rPr>
          <w:rFonts w:ascii="Helvetica" w:hAnsi="Helvetica" w:cs="Times New Roman"/>
        </w:rPr>
        <w:t>upstream</w:t>
      </w:r>
      <w:r w:rsidR="00692496" w:rsidRPr="00817833">
        <w:rPr>
          <w:rFonts w:ascii="Helvetica" w:hAnsi="Helvetica" w:cs="Times New Roman"/>
        </w:rPr>
        <w:t xml:space="preserve"> of mCherry</w:t>
      </w:r>
      <w:r w:rsidR="00692496">
        <w:rPr>
          <w:rFonts w:ascii="Helvetica" w:hAnsi="Helvetica" w:cs="Times New Roman"/>
        </w:rPr>
        <w:t xml:space="preserve"> and </w:t>
      </w:r>
      <w:proofErr w:type="gramStart"/>
      <w:r w:rsidR="00692496">
        <w:rPr>
          <w:rFonts w:ascii="Helvetica" w:hAnsi="Helvetica" w:cs="Times New Roman"/>
        </w:rPr>
        <w:t>a</w:t>
      </w:r>
      <w:proofErr w:type="gramEnd"/>
      <w:r w:rsidR="00692496">
        <w:rPr>
          <w:rFonts w:ascii="Helvetica" w:hAnsi="Helvetica" w:cs="Times New Roman"/>
        </w:rPr>
        <w:t xml:space="preserve"> 83 nt 5′ UTR upstream of eGFP</w:t>
      </w:r>
      <w:r w:rsidR="00692496" w:rsidRPr="00817833">
        <w:rPr>
          <w:rFonts w:ascii="Helvetica" w:hAnsi="Helvetica" w:cs="Times New Roman"/>
        </w:rPr>
        <w:t xml:space="preserve">. After 48 hours from the addition of either DMSO or auxin, which induces degradation of endogenous DDX3X, the fluorescent signal </w:t>
      </w:r>
      <w:r w:rsidR="00692496">
        <w:rPr>
          <w:rFonts w:ascii="Helvetica" w:hAnsi="Helvetica" w:cs="Times New Roman"/>
        </w:rPr>
        <w:t xml:space="preserve">of </w:t>
      </w:r>
      <w:r w:rsidR="00692496" w:rsidRPr="00817833">
        <w:rPr>
          <w:rFonts w:ascii="Helvetica" w:hAnsi="Helvetica" w:cs="Times New Roman"/>
        </w:rPr>
        <w:t xml:space="preserve">cells was measured by fluorescent cytometry. The </w:t>
      </w:r>
      <w:r w:rsidR="00692496">
        <w:rPr>
          <w:rFonts w:ascii="Helvetica" w:hAnsi="Helvetica" w:cs="Times New Roman"/>
        </w:rPr>
        <w:t xml:space="preserve">HART </w:t>
      </w:r>
      <w:r w:rsidR="00692496" w:rsidRPr="00817833">
        <w:rPr>
          <w:rFonts w:ascii="Helvetica" w:hAnsi="Helvetica" w:cs="Times New Roman"/>
        </w:rPr>
        <w:t xml:space="preserve">ratio </w:t>
      </w:r>
      <w:r w:rsidR="00692496">
        <w:rPr>
          <w:rFonts w:ascii="Helvetica" w:hAnsi="Helvetica" w:cs="Times New Roman"/>
        </w:rPr>
        <w:t>(</w:t>
      </w:r>
      <w:r w:rsidR="00692496" w:rsidRPr="00817833">
        <w:rPr>
          <w:rFonts w:ascii="Helvetica" w:hAnsi="Helvetica" w:cs="Times New Roman"/>
        </w:rPr>
        <w:t>mCherry/</w:t>
      </w:r>
      <w:r w:rsidR="00692496">
        <w:rPr>
          <w:rFonts w:ascii="Helvetica" w:hAnsi="Helvetica" w:cs="Times New Roman"/>
        </w:rPr>
        <w:t>eGFP)</w:t>
      </w:r>
      <w:r w:rsidR="00692496" w:rsidRPr="00817833">
        <w:rPr>
          <w:rFonts w:ascii="Helvetica" w:hAnsi="Helvetica" w:cs="Times New Roman"/>
        </w:rPr>
        <w:t xml:space="preserve"> was calculated for each cell and averaged across replicate wells. </w:t>
      </w:r>
      <w:r w:rsidR="00692496">
        <w:rPr>
          <w:rFonts w:ascii="Helvetica" w:hAnsi="Helvetica" w:cs="Times New Roman"/>
        </w:rPr>
        <w:t xml:space="preserve">Data was obtained in two separate experiments for a total of 8 replicates. </w:t>
      </w:r>
      <w:r w:rsidR="00692496" w:rsidRPr="00817833">
        <w:rPr>
          <w:rFonts w:ascii="Helvetica" w:hAnsi="Helvetica" w:cs="Times New Roman"/>
        </w:rPr>
        <w:t xml:space="preserve">Statistical significance was determined by unpaired </w:t>
      </w:r>
      <w:r w:rsidR="00692496" w:rsidRPr="00817833">
        <w:rPr>
          <w:rFonts w:ascii="Helvetica" w:hAnsi="Helvetica" w:cs="Times New Roman"/>
          <w:i/>
          <w:iCs/>
        </w:rPr>
        <w:t>t</w:t>
      </w:r>
      <w:r w:rsidR="00692496" w:rsidRPr="00817833">
        <w:rPr>
          <w:rFonts w:ascii="Helvetica" w:hAnsi="Helvetica" w:cs="Times New Roman"/>
        </w:rPr>
        <w:t xml:space="preserve">-test: ns: p &gt; 0.05, *: p &lt;= 0.05, **: p &lt;= 0.01, ***: p &lt;= 0.001, ****: p &lt;= 0.0001. </w:t>
      </w:r>
      <w:r w:rsidR="00E9581F">
        <w:rPr>
          <w:rFonts w:ascii="Helvetica" w:hAnsi="Helvetica" w:cs="Times New Roman"/>
        </w:rPr>
        <w:t xml:space="preserve"> </w:t>
      </w:r>
      <w:r w:rsidR="00E9581F" w:rsidRPr="006205F7">
        <w:rPr>
          <w:rFonts w:ascii="Helvetica" w:hAnsi="Helvetica" w:cs="Times New Roman"/>
          <w:b/>
          <w:bCs/>
        </w:rPr>
        <w:t>(F)</w:t>
      </w:r>
      <w:r w:rsidR="00E9581F">
        <w:rPr>
          <w:rFonts w:ascii="Helvetica" w:hAnsi="Helvetica" w:cs="Times New Roman"/>
        </w:rPr>
        <w:t xml:space="preserve"> </w:t>
      </w:r>
      <w:r w:rsidR="00692496">
        <w:rPr>
          <w:rFonts w:ascii="Helvetica" w:hAnsi="Helvetica" w:cs="Times New Roman"/>
        </w:rPr>
        <w:t>Same data as E, normalized to DMSO for each reporter.</w:t>
      </w:r>
      <w:r w:rsidR="00E9581F">
        <w:rPr>
          <w:rFonts w:ascii="Helvetica" w:hAnsi="Helvetica" w:cs="Times New Roman"/>
        </w:rPr>
        <w:t xml:space="preserve"> </w:t>
      </w:r>
      <w:r w:rsidR="00E9581F" w:rsidRPr="006205F7">
        <w:rPr>
          <w:rFonts w:ascii="Helvetica" w:hAnsi="Helvetica" w:cs="Times New Roman"/>
          <w:b/>
          <w:bCs/>
        </w:rPr>
        <w:t>(G)</w:t>
      </w:r>
      <w:r w:rsidR="00E9581F">
        <w:rPr>
          <w:rFonts w:ascii="Helvetica" w:hAnsi="Helvetica" w:cs="Times New Roman"/>
        </w:rPr>
        <w:t xml:space="preserve"> Gating strategy for HART. Cells were gated </w:t>
      </w:r>
      <w:r w:rsidR="00BF7452">
        <w:rPr>
          <w:rFonts w:ascii="Helvetica" w:hAnsi="Helvetica" w:cs="Times New Roman"/>
        </w:rPr>
        <w:t>using</w:t>
      </w:r>
      <w:r w:rsidR="00E9581F">
        <w:rPr>
          <w:rFonts w:ascii="Helvetica" w:hAnsi="Helvetica" w:cs="Times New Roman"/>
        </w:rPr>
        <w:t xml:space="preserve"> SSC and FSC to obtain single cells</w:t>
      </w:r>
      <w:r w:rsidR="00BB02C5">
        <w:rPr>
          <w:rFonts w:ascii="Helvetica" w:hAnsi="Helvetica" w:cs="Times New Roman"/>
        </w:rPr>
        <w:t xml:space="preserve"> and remove doublets</w:t>
      </w:r>
      <w:r w:rsidR="00E9581F">
        <w:rPr>
          <w:rFonts w:ascii="Helvetica" w:hAnsi="Helvetica" w:cs="Times New Roman"/>
        </w:rPr>
        <w:t xml:space="preserve">, and </w:t>
      </w:r>
      <w:r w:rsidR="00BB02C5">
        <w:rPr>
          <w:rFonts w:ascii="Helvetica" w:hAnsi="Helvetica" w:cs="Times New Roman"/>
        </w:rPr>
        <w:t xml:space="preserve">subsequently </w:t>
      </w:r>
      <w:r w:rsidR="00E9581F">
        <w:rPr>
          <w:rFonts w:ascii="Helvetica" w:hAnsi="Helvetica" w:cs="Times New Roman"/>
        </w:rPr>
        <w:t xml:space="preserve">through the use of eGFP and mCherry </w:t>
      </w:r>
      <w:r w:rsidR="00692496">
        <w:rPr>
          <w:rFonts w:ascii="Helvetica" w:hAnsi="Helvetica" w:cs="Times New Roman"/>
        </w:rPr>
        <w:t>channels</w:t>
      </w:r>
      <w:r w:rsidR="00E9581F">
        <w:rPr>
          <w:rFonts w:ascii="Helvetica" w:hAnsi="Helvetica" w:cs="Times New Roman"/>
        </w:rPr>
        <w:t xml:space="preserve"> to obtain cells that were double positive. </w:t>
      </w:r>
      <w:r w:rsidR="00E9581F" w:rsidRPr="006205F7">
        <w:rPr>
          <w:rFonts w:ascii="Helvetica" w:hAnsi="Helvetica" w:cs="Times New Roman"/>
          <w:b/>
          <w:bCs/>
        </w:rPr>
        <w:t>(H)</w:t>
      </w:r>
      <w:r w:rsidR="00E9581F">
        <w:rPr>
          <w:rFonts w:ascii="Helvetica" w:hAnsi="Helvetica" w:cs="Times New Roman"/>
        </w:rPr>
        <w:t xml:space="preserve"> Example flow cytometry data for DMSO treated HART cells. </w:t>
      </w:r>
      <w:r w:rsidR="00BB02C5">
        <w:rPr>
          <w:rFonts w:ascii="Helvetica" w:hAnsi="Helvetica" w:cs="Times New Roman"/>
        </w:rPr>
        <w:t xml:space="preserve">The right panel presents a density plot for cells while the left panel presents a histogram plot with the HART ratio on the X axis.  </w:t>
      </w:r>
      <w:r w:rsidR="00E9581F" w:rsidRPr="006205F7">
        <w:rPr>
          <w:rFonts w:ascii="Helvetica" w:hAnsi="Helvetica" w:cs="Times New Roman"/>
          <w:b/>
          <w:bCs/>
        </w:rPr>
        <w:t>(I)</w:t>
      </w:r>
      <w:r w:rsidR="00E9581F">
        <w:rPr>
          <w:rFonts w:ascii="Helvetica" w:hAnsi="Helvetica" w:cs="Times New Roman"/>
        </w:rPr>
        <w:t xml:space="preserve"> Example flow cytometry data for </w:t>
      </w:r>
      <w:r w:rsidR="00BB02C5">
        <w:rPr>
          <w:rFonts w:ascii="Helvetica" w:hAnsi="Helvetica" w:cs="Times New Roman"/>
        </w:rPr>
        <w:t>AUX</w:t>
      </w:r>
      <w:r w:rsidR="00E9581F">
        <w:rPr>
          <w:rFonts w:ascii="Helvetica" w:hAnsi="Helvetica" w:cs="Times New Roman"/>
        </w:rPr>
        <w:t xml:space="preserve"> treated HART cells</w:t>
      </w:r>
      <w:r w:rsidR="00BF7452">
        <w:rPr>
          <w:rFonts w:ascii="Helvetica" w:hAnsi="Helvetica" w:cs="Times New Roman"/>
        </w:rPr>
        <w:t>.</w:t>
      </w:r>
      <w:r w:rsidR="00E9581F">
        <w:rPr>
          <w:rFonts w:ascii="Helvetica" w:hAnsi="Helvetica" w:cs="Times New Roman"/>
        </w:rPr>
        <w:t xml:space="preserve"> </w:t>
      </w:r>
      <w:r w:rsidR="00BB02C5">
        <w:rPr>
          <w:rFonts w:ascii="Helvetica" w:hAnsi="Helvetica" w:cs="Times New Roman"/>
        </w:rPr>
        <w:t>The right panel presents a density plot for cells while the left panel presents a histogram plot with the HART ratio on the X axis. Both the density and the histogram plots of AUX-treated cell present a shift towards lower HART ratios compared to DMSO-treated cells in Fig</w:t>
      </w:r>
      <w:r w:rsidR="00BE235A">
        <w:rPr>
          <w:rFonts w:ascii="Helvetica" w:hAnsi="Helvetica" w:cs="Times New Roman"/>
        </w:rPr>
        <w:t>.</w:t>
      </w:r>
      <w:r w:rsidR="00BB02C5">
        <w:rPr>
          <w:rFonts w:ascii="Helvetica" w:hAnsi="Helvetica" w:cs="Times New Roman"/>
        </w:rPr>
        <w:t xml:space="preserve"> S1H. </w:t>
      </w:r>
      <w:r w:rsidR="00E9581F" w:rsidRPr="006205F7">
        <w:rPr>
          <w:rFonts w:ascii="Helvetica" w:hAnsi="Helvetica" w:cs="Times New Roman"/>
          <w:b/>
          <w:bCs/>
        </w:rPr>
        <w:t>(J)</w:t>
      </w:r>
      <w:r w:rsidR="00E9581F">
        <w:rPr>
          <w:rFonts w:ascii="Helvetica" w:hAnsi="Helvetica" w:cs="Times New Roman"/>
        </w:rPr>
        <w:t xml:space="preserve"> </w:t>
      </w:r>
      <w:r w:rsidR="00692496">
        <w:rPr>
          <w:rFonts w:ascii="Helvetica" w:hAnsi="Helvetica" w:cs="Times New Roman"/>
        </w:rPr>
        <w:t>Example microscopy images for DMSO-treated cells from Fig</w:t>
      </w:r>
      <w:r w:rsidR="00BE235A">
        <w:rPr>
          <w:rFonts w:ascii="Helvetica" w:hAnsi="Helvetica" w:cs="Times New Roman"/>
        </w:rPr>
        <w:t>.</w:t>
      </w:r>
      <w:r w:rsidR="00692496">
        <w:rPr>
          <w:rFonts w:ascii="Helvetica" w:hAnsi="Helvetica" w:cs="Times New Roman"/>
        </w:rPr>
        <w:t xml:space="preserve"> 1F. HART infected cells were plated in a 384-well format, treated with DMSO for 48 hours, and stained for DAPI, eGFP, and mCherry, and imaged.</w:t>
      </w:r>
      <w:r w:rsidR="00E9581F">
        <w:rPr>
          <w:rFonts w:ascii="Helvetica" w:hAnsi="Helvetica" w:cs="Times New Roman"/>
        </w:rPr>
        <w:t xml:space="preserve"> </w:t>
      </w:r>
      <w:r w:rsidR="00E9581F" w:rsidRPr="006205F7">
        <w:rPr>
          <w:rFonts w:ascii="Helvetica" w:hAnsi="Helvetica" w:cs="Times New Roman"/>
          <w:b/>
          <w:bCs/>
        </w:rPr>
        <w:t>(K</w:t>
      </w:r>
      <w:r w:rsidR="00E9581F">
        <w:rPr>
          <w:rFonts w:ascii="Helvetica" w:hAnsi="Helvetica" w:cs="Times New Roman"/>
        </w:rPr>
        <w:t xml:space="preserve">) </w:t>
      </w:r>
      <w:r w:rsidR="00692496">
        <w:rPr>
          <w:rFonts w:ascii="Helvetica" w:hAnsi="Helvetica" w:cs="Times New Roman"/>
        </w:rPr>
        <w:t xml:space="preserve">Example flow cytometry data for AUX treated HART cells </w:t>
      </w:r>
      <w:r w:rsidR="00692496" w:rsidRPr="006205F7">
        <w:rPr>
          <w:rFonts w:ascii="Helvetica" w:hAnsi="Helvetica" w:cs="Times New Roman"/>
          <w:b/>
          <w:bCs/>
        </w:rPr>
        <w:t>(J)</w:t>
      </w:r>
      <w:r w:rsidR="00692496">
        <w:rPr>
          <w:rFonts w:ascii="Helvetica" w:hAnsi="Helvetica" w:cs="Times New Roman"/>
        </w:rPr>
        <w:t xml:space="preserve"> Example microscopy images for DMSO-treated cells from Fig</w:t>
      </w:r>
      <w:r w:rsidR="00BE235A">
        <w:rPr>
          <w:rFonts w:ascii="Helvetica" w:hAnsi="Helvetica" w:cs="Times New Roman"/>
        </w:rPr>
        <w:t>.</w:t>
      </w:r>
      <w:r w:rsidR="00692496">
        <w:rPr>
          <w:rFonts w:ascii="Helvetica" w:hAnsi="Helvetica" w:cs="Times New Roman"/>
        </w:rPr>
        <w:t xml:space="preserve"> 1F. HART infected cells were plated in a 384-well format, treated with auxin for 48 hours, and stained for DAPI, eGFP, and mCherry, and imaged.</w:t>
      </w:r>
    </w:p>
    <w:p w14:paraId="5FDB499B" w14:textId="7AA3B28C" w:rsidR="00045BB2" w:rsidRPr="00817833" w:rsidRDefault="00045BB2" w:rsidP="00045BB2">
      <w:pPr>
        <w:pStyle w:val="ListParagraph"/>
        <w:ind w:left="0"/>
        <w:jc w:val="both"/>
        <w:rPr>
          <w:rFonts w:ascii="Helvetica" w:hAnsi="Helvetica" w:cs="Times New Roman"/>
        </w:rPr>
      </w:pPr>
    </w:p>
    <w:p w14:paraId="44253692" w14:textId="77777777" w:rsidR="00A571CC" w:rsidRPr="00817833" w:rsidRDefault="00A571CC">
      <w:pPr>
        <w:rPr>
          <w:rFonts w:ascii="Helvetica" w:hAnsi="Helvetica" w:cs="Times New Roman"/>
          <w:b/>
          <w:bCs/>
        </w:rPr>
      </w:pPr>
      <w:r w:rsidRPr="00817833">
        <w:rPr>
          <w:rFonts w:ascii="Helvetica" w:hAnsi="Helvetica" w:cs="Times New Roman"/>
          <w:b/>
          <w:bCs/>
        </w:rPr>
        <w:br w:type="page"/>
      </w:r>
    </w:p>
    <w:p w14:paraId="544C50F8" w14:textId="77777777" w:rsidR="00C341B6" w:rsidRDefault="00045BB2" w:rsidP="002B29EA">
      <w:pPr>
        <w:pStyle w:val="ListParagraph"/>
        <w:ind w:left="0"/>
        <w:jc w:val="both"/>
        <w:rPr>
          <w:rFonts w:ascii="Helvetica" w:hAnsi="Helvetica" w:cs="Times New Roman"/>
          <w:b/>
          <w:bCs/>
        </w:rPr>
      </w:pPr>
      <w:r w:rsidRPr="00817833">
        <w:rPr>
          <w:rFonts w:ascii="Helvetica" w:hAnsi="Helvetica" w:cs="Times New Roman"/>
          <w:b/>
          <w:bCs/>
        </w:rPr>
        <w:lastRenderedPageBreak/>
        <w:t xml:space="preserve">Supplementary Figure 2 </w:t>
      </w:r>
      <w:r w:rsidR="008B1243" w:rsidRPr="00817833">
        <w:rPr>
          <w:rFonts w:ascii="Helvetica" w:hAnsi="Helvetica" w:cs="Times New Roman"/>
          <w:b/>
          <w:bCs/>
        </w:rPr>
        <w:t>(</w:t>
      </w:r>
      <w:r w:rsidR="008B1243">
        <w:rPr>
          <w:rFonts w:ascii="Helvetica" w:hAnsi="Helvetica" w:cs="Times New Roman"/>
          <w:b/>
          <w:bCs/>
        </w:rPr>
        <w:t>A</w:t>
      </w:r>
      <w:r w:rsidR="008B1243" w:rsidRPr="00817833">
        <w:rPr>
          <w:rFonts w:ascii="Helvetica" w:hAnsi="Helvetica" w:cs="Times New Roman"/>
          <w:b/>
          <w:bCs/>
        </w:rPr>
        <w:t xml:space="preserve">) </w:t>
      </w:r>
      <w:r w:rsidR="008B1243">
        <w:rPr>
          <w:rFonts w:ascii="Helvetica" w:hAnsi="Helvetica" w:cs="Times New Roman"/>
        </w:rPr>
        <w:t>SHAPE-MaP</w:t>
      </w:r>
      <w:r w:rsidR="008B1243" w:rsidRPr="00817833">
        <w:rPr>
          <w:rFonts w:ascii="Helvetica" w:hAnsi="Helvetica" w:cs="Times New Roman"/>
        </w:rPr>
        <w:t xml:space="preserve"> reactivity for the </w:t>
      </w:r>
      <w:r w:rsidR="008B1243">
        <w:rPr>
          <w:rFonts w:ascii="Helvetica" w:hAnsi="Helvetica" w:cs="Times New Roman"/>
        </w:rPr>
        <w:t>5′ UTR</w:t>
      </w:r>
      <w:r w:rsidR="008B1243" w:rsidRPr="00817833">
        <w:rPr>
          <w:rFonts w:ascii="Helvetica" w:hAnsi="Helvetica" w:cs="Times New Roman"/>
        </w:rPr>
        <w:t xml:space="preserve"> of </w:t>
      </w:r>
      <w:r w:rsidR="006C33D3">
        <w:rPr>
          <w:rFonts w:ascii="Helvetica" w:hAnsi="Helvetica" w:cs="Times New Roman"/>
        </w:rPr>
        <w:t>ODC1</w:t>
      </w:r>
      <w:r w:rsidR="008B1243" w:rsidRPr="00817833">
        <w:rPr>
          <w:rFonts w:ascii="Helvetica" w:hAnsi="Helvetica" w:cs="Times New Roman"/>
        </w:rPr>
        <w:t xml:space="preserve"> </w:t>
      </w:r>
      <w:r w:rsidR="008B1243" w:rsidRPr="00817833">
        <w:rPr>
          <w:rFonts w:ascii="Helvetica" w:hAnsi="Helvetica" w:cs="Times New Roman"/>
          <w:i/>
          <w:iCs/>
        </w:rPr>
        <w:t>in vitro</w:t>
      </w:r>
      <w:r w:rsidR="008B1243">
        <w:rPr>
          <w:rFonts w:ascii="Helvetica" w:hAnsi="Helvetica" w:cs="Times New Roman"/>
          <w:i/>
          <w:iCs/>
        </w:rPr>
        <w:t xml:space="preserve"> </w:t>
      </w:r>
      <w:r w:rsidR="008B1243">
        <w:rPr>
          <w:rFonts w:ascii="Helvetica" w:hAnsi="Helvetica" w:cs="Times New Roman"/>
        </w:rPr>
        <w:t>from Fig</w:t>
      </w:r>
      <w:r w:rsidR="00BE235A">
        <w:rPr>
          <w:rFonts w:ascii="Helvetica" w:hAnsi="Helvetica" w:cs="Times New Roman"/>
        </w:rPr>
        <w:t>.</w:t>
      </w:r>
      <w:r w:rsidR="008B1243">
        <w:rPr>
          <w:rFonts w:ascii="Helvetica" w:hAnsi="Helvetica" w:cs="Times New Roman"/>
        </w:rPr>
        <w:t xml:space="preserve"> 2C</w:t>
      </w:r>
      <w:r w:rsidR="008B1243" w:rsidRPr="00817833">
        <w:rPr>
          <w:rFonts w:ascii="Helvetica" w:hAnsi="Helvetica" w:cs="Times New Roman"/>
        </w:rPr>
        <w:t xml:space="preserve">. </w:t>
      </w:r>
      <w:r w:rsidR="008B1243" w:rsidRPr="00AE4FA6">
        <w:rPr>
          <w:rFonts w:ascii="Helvetica" w:hAnsi="Helvetica" w:cs="Times New Roman"/>
          <w:i/>
          <w:iCs/>
        </w:rPr>
        <w:t>In vitro</w:t>
      </w:r>
      <w:r w:rsidR="008B1243" w:rsidRPr="00817833">
        <w:rPr>
          <w:rFonts w:ascii="Helvetica" w:hAnsi="Helvetica" w:cs="Times New Roman"/>
        </w:rPr>
        <w:t xml:space="preserve"> transcribed mRNA containing the </w:t>
      </w:r>
      <w:r w:rsidR="008B1243">
        <w:rPr>
          <w:rFonts w:ascii="Helvetica" w:hAnsi="Helvetica" w:cs="Times New Roman"/>
        </w:rPr>
        <w:t>5′ UTR</w:t>
      </w:r>
      <w:r w:rsidR="008B1243" w:rsidRPr="00817833">
        <w:rPr>
          <w:rFonts w:ascii="Helvetica" w:hAnsi="Helvetica" w:cs="Times New Roman"/>
        </w:rPr>
        <w:t xml:space="preserve"> of ODC1 and the open reading frame of luciferase was probed with 200 mM NAI or DMSO control for </w:t>
      </w:r>
      <w:r w:rsidR="008B1243">
        <w:rPr>
          <w:rFonts w:ascii="Helvetica" w:hAnsi="Helvetica" w:cs="Times New Roman"/>
        </w:rPr>
        <w:t>SHAPE-MaP</w:t>
      </w:r>
      <w:r w:rsidR="008B1243" w:rsidRPr="00817833">
        <w:rPr>
          <w:rFonts w:ascii="Helvetica" w:hAnsi="Helvetica" w:cs="Times New Roman"/>
        </w:rPr>
        <w:t>. The RNA was reverse transcribed and sequenced.</w:t>
      </w:r>
      <w:r w:rsidR="008B1243">
        <w:rPr>
          <w:rFonts w:ascii="Helvetica" w:hAnsi="Helvetica" w:cs="Times New Roman"/>
        </w:rPr>
        <w:t xml:space="preserve"> </w:t>
      </w:r>
      <w:r w:rsidR="008B1243" w:rsidRPr="00817833">
        <w:rPr>
          <w:rFonts w:ascii="Helvetica" w:hAnsi="Helvetica" w:cs="Times New Roman"/>
        </w:rPr>
        <w:t xml:space="preserve">The </w:t>
      </w:r>
      <w:r w:rsidR="008B1243">
        <w:rPr>
          <w:rFonts w:ascii="Helvetica" w:hAnsi="Helvetica" w:cs="Times New Roman"/>
        </w:rPr>
        <w:t>SHAPE</w:t>
      </w:r>
      <w:r w:rsidR="008B1243" w:rsidRPr="00817833">
        <w:rPr>
          <w:rFonts w:ascii="Helvetica" w:hAnsi="Helvetica" w:cs="Times New Roman"/>
        </w:rPr>
        <w:t xml:space="preserve"> reactivity was calculated based on the difference in mutation rate. </w:t>
      </w:r>
      <w:r w:rsidR="008B1243">
        <w:rPr>
          <w:rFonts w:ascii="Helvetica" w:hAnsi="Helvetica" w:cs="Times New Roman"/>
          <w:b/>
          <w:bCs/>
        </w:rPr>
        <w:t xml:space="preserve"> </w:t>
      </w:r>
      <w:r w:rsidRPr="00817833">
        <w:rPr>
          <w:rFonts w:ascii="Helvetica" w:hAnsi="Helvetica" w:cs="Times New Roman"/>
          <w:b/>
          <w:bCs/>
        </w:rPr>
        <w:t>(</w:t>
      </w:r>
      <w:r w:rsidR="008B1243">
        <w:rPr>
          <w:rFonts w:ascii="Helvetica" w:hAnsi="Helvetica" w:cs="Times New Roman"/>
          <w:b/>
          <w:bCs/>
        </w:rPr>
        <w:t>B</w:t>
      </w:r>
      <w:r w:rsidRPr="00817833">
        <w:rPr>
          <w:rFonts w:ascii="Helvetica" w:hAnsi="Helvetica" w:cs="Times New Roman"/>
          <w:b/>
          <w:bCs/>
        </w:rPr>
        <w:t>)</w:t>
      </w:r>
      <w:r w:rsidRPr="00817833">
        <w:rPr>
          <w:rFonts w:ascii="Helvetica" w:hAnsi="Helvetica" w:cs="Times New Roman"/>
        </w:rPr>
        <w:t xml:space="preserve"> </w:t>
      </w:r>
      <w:r w:rsidR="00B26471">
        <w:rPr>
          <w:rFonts w:ascii="Helvetica" w:hAnsi="Helvetica" w:cs="Times New Roman"/>
        </w:rPr>
        <w:t>SHAPE-MaP</w:t>
      </w:r>
      <w:r w:rsidRPr="00817833">
        <w:rPr>
          <w:rFonts w:ascii="Helvetica" w:hAnsi="Helvetica" w:cs="Times New Roman"/>
        </w:rPr>
        <w:t xml:space="preserve"> reactivity and mutation rate for the </w:t>
      </w:r>
      <w:r w:rsidR="0075255B">
        <w:rPr>
          <w:rFonts w:ascii="Helvetica" w:hAnsi="Helvetica" w:cs="Times New Roman"/>
        </w:rPr>
        <w:t>5′ UTR</w:t>
      </w:r>
      <w:r w:rsidRPr="00817833">
        <w:rPr>
          <w:rFonts w:ascii="Helvetica" w:hAnsi="Helvetica" w:cs="Times New Roman"/>
        </w:rPr>
        <w:t xml:space="preserve"> of RAC1 </w:t>
      </w:r>
      <w:r w:rsidRPr="00817833">
        <w:rPr>
          <w:rFonts w:ascii="Helvetica" w:hAnsi="Helvetica" w:cs="Times New Roman"/>
          <w:i/>
          <w:iCs/>
        </w:rPr>
        <w:t>in cell</w:t>
      </w:r>
      <w:r w:rsidRPr="00817833">
        <w:rPr>
          <w:rFonts w:ascii="Helvetica" w:hAnsi="Helvetica" w:cs="Times New Roman"/>
        </w:rPr>
        <w:t xml:space="preserve">. Cells were treated with 300 mM NAI in PBS or control for 20 min before quenching the reaction and extracting the RNA. The RNA was reverse transcribed, sequenced, and analyzed to obtain mutation profiles and SHAPE reactivity with the ShapeMapper tool. </w:t>
      </w:r>
      <w:r w:rsidRPr="00817833">
        <w:rPr>
          <w:rFonts w:ascii="Helvetica" w:hAnsi="Helvetica" w:cs="Times New Roman"/>
          <w:b/>
          <w:bCs/>
        </w:rPr>
        <w:t>(</w:t>
      </w:r>
      <w:r w:rsidR="008B1243">
        <w:rPr>
          <w:rFonts w:ascii="Helvetica" w:hAnsi="Helvetica" w:cs="Times New Roman"/>
          <w:b/>
          <w:bCs/>
        </w:rPr>
        <w:t>C</w:t>
      </w:r>
      <w:r w:rsidRPr="00817833">
        <w:rPr>
          <w:rFonts w:ascii="Helvetica" w:hAnsi="Helvetica" w:cs="Times New Roman"/>
          <w:b/>
          <w:bCs/>
        </w:rPr>
        <w:t>)</w:t>
      </w:r>
      <w:r w:rsidRPr="00817833">
        <w:rPr>
          <w:rFonts w:ascii="Helvetica" w:hAnsi="Helvetica" w:cs="Times New Roman"/>
        </w:rPr>
        <w:t xml:space="preserve"> Diagram of the structure of the RAC1 </w:t>
      </w:r>
      <w:r w:rsidR="0075255B">
        <w:rPr>
          <w:rFonts w:ascii="Helvetica" w:hAnsi="Helvetica" w:cs="Times New Roman"/>
        </w:rPr>
        <w:t>5′ UTR</w:t>
      </w:r>
      <w:r w:rsidRPr="00817833">
        <w:rPr>
          <w:rFonts w:ascii="Helvetica" w:hAnsi="Helvetica" w:cs="Times New Roman"/>
        </w:rPr>
        <w:t xml:space="preserve"> </w:t>
      </w:r>
      <w:r w:rsidRPr="00817833">
        <w:rPr>
          <w:rFonts w:ascii="Helvetica" w:hAnsi="Helvetica" w:cs="Times New Roman"/>
          <w:i/>
          <w:iCs/>
        </w:rPr>
        <w:t>in cell</w:t>
      </w:r>
      <w:r w:rsidRPr="00817833">
        <w:rPr>
          <w:rFonts w:ascii="Helvetica" w:hAnsi="Helvetica" w:cs="Times New Roman"/>
        </w:rPr>
        <w:t>, based on data from Fig</w:t>
      </w:r>
      <w:r w:rsidR="00BE235A">
        <w:rPr>
          <w:rFonts w:ascii="Helvetica" w:hAnsi="Helvetica" w:cs="Times New Roman"/>
        </w:rPr>
        <w:t>.</w:t>
      </w:r>
      <w:r w:rsidRPr="00817833">
        <w:rPr>
          <w:rFonts w:ascii="Helvetica" w:hAnsi="Helvetica" w:cs="Times New Roman"/>
        </w:rPr>
        <w:t xml:space="preserve"> </w:t>
      </w:r>
      <w:r w:rsidR="00BE235A">
        <w:rPr>
          <w:rFonts w:ascii="Helvetica" w:hAnsi="Helvetica" w:cs="Times New Roman"/>
        </w:rPr>
        <w:t>S</w:t>
      </w:r>
      <w:r w:rsidRPr="00817833">
        <w:rPr>
          <w:rFonts w:ascii="Helvetica" w:hAnsi="Helvetica" w:cs="Times New Roman"/>
        </w:rPr>
        <w:t xml:space="preserve">2A and computed with ShapeMapper 2.1.3. </w:t>
      </w:r>
      <w:r w:rsidRPr="00817833">
        <w:rPr>
          <w:rFonts w:ascii="Helvetica" w:hAnsi="Helvetica" w:cs="Times New Roman"/>
        </w:rPr>
        <w:fldChar w:fldCharType="begin"/>
      </w:r>
      <w:r w:rsidRPr="00817833">
        <w:rPr>
          <w:rFonts w:ascii="Helvetica" w:hAnsi="Helvetica" w:cs="Times New Roman"/>
        </w:rPr>
        <w:instrText xml:space="preserve"> ADDIN ZOTERO_ITEM CSL_CITATION {"citationID":"AbCeEgJd","properties":{"formattedCitation":"(Busan &amp; Weeks, 2018)","plainCitation":"(Busan &amp; Weeks, 2018)","noteIndex":0},"citationItems":[{"id":769,"uris":["http://zotero.org/users/5691701/items/X65KJH6Q"],"itemData":{"id":769,"type":"article-journal","abstract":"Mutational profiling (MaP) enables detection of sites of chemical modification in RNA as sequence changes during reverse transcription (RT), subsequently read out by massively parallel sequencing. We introduce ShapeMapper 2, which integrates careful handling of all classes of adduct-induced sequence changes, sequence variant correction, basecall quality filters, and quality-control warnings to now identify RNA adduct sites as accurately as achieved by careful manual analysis of electrophoresis data, the prior highest-accuracy standard. MaP and ShapeMapper 2 provide a robust, experimentally concise, and accurate approach for reading out nucleic acid chemical probing experiments.","container-title":"RNA (New York, N.Y.)","DOI":"10.1261/rna.061945.117","ISSN":"1469-9001","issue":"2","journalAbbreviation":"RNA","language":"eng","note":"PMID: 29114018\nPMCID: PMC5769742","page":"143-148","source":"PubMed","title":"Accurate detection of chemical modifications in RNA by mutational profiling (MaP) with ShapeMapper 2","volume":"24","author":[{"family":"Busan","given":"Steven"},{"family":"Weeks","given":"Kevin M."}],"issued":{"date-parts":[["2018",2]]}}}],"schema":"https://github.com/citation-style-language/schema/raw/master/csl-citation.json"} </w:instrText>
      </w:r>
      <w:r w:rsidRPr="00817833">
        <w:rPr>
          <w:rFonts w:ascii="Helvetica" w:hAnsi="Helvetica" w:cs="Times New Roman"/>
        </w:rPr>
        <w:fldChar w:fldCharType="separate"/>
      </w:r>
      <w:r w:rsidRPr="00817833">
        <w:rPr>
          <w:rFonts w:ascii="Helvetica" w:hAnsi="Helvetica" w:cs="Times New Roman"/>
          <w:noProof/>
        </w:rPr>
        <w:t>(Busan &amp; Weeks, 2018)</w:t>
      </w:r>
      <w:r w:rsidRPr="00817833">
        <w:rPr>
          <w:rFonts w:ascii="Helvetica" w:hAnsi="Helvetica" w:cs="Times New Roman"/>
        </w:rPr>
        <w:fldChar w:fldCharType="end"/>
      </w:r>
      <w:r w:rsidRPr="00817833">
        <w:rPr>
          <w:rFonts w:ascii="Helvetica" w:hAnsi="Helvetica" w:cs="Times New Roman"/>
        </w:rPr>
        <w:t xml:space="preserve"> </w:t>
      </w:r>
      <w:r w:rsidRPr="00817833">
        <w:rPr>
          <w:rFonts w:ascii="Helvetica" w:hAnsi="Helvetica" w:cs="Times New Roman"/>
          <w:b/>
          <w:bCs/>
        </w:rPr>
        <w:t>(</w:t>
      </w:r>
      <w:r w:rsidR="008B1243">
        <w:rPr>
          <w:rFonts w:ascii="Helvetica" w:hAnsi="Helvetica" w:cs="Times New Roman"/>
          <w:b/>
          <w:bCs/>
        </w:rPr>
        <w:t>D</w:t>
      </w:r>
      <w:r w:rsidRPr="00817833">
        <w:rPr>
          <w:rFonts w:ascii="Helvetica" w:hAnsi="Helvetica" w:cs="Times New Roman"/>
          <w:b/>
          <w:bCs/>
        </w:rPr>
        <w:t>-</w:t>
      </w:r>
      <w:r w:rsidR="008B1243">
        <w:rPr>
          <w:rFonts w:ascii="Helvetica" w:hAnsi="Helvetica" w:cs="Times New Roman"/>
          <w:b/>
          <w:bCs/>
        </w:rPr>
        <w:t>E</w:t>
      </w:r>
      <w:r w:rsidRPr="00817833">
        <w:rPr>
          <w:rFonts w:ascii="Helvetica" w:hAnsi="Helvetica" w:cs="Times New Roman"/>
          <w:b/>
          <w:bCs/>
        </w:rPr>
        <w:t>)</w:t>
      </w:r>
      <w:r w:rsidRPr="00817833">
        <w:rPr>
          <w:rFonts w:ascii="Helvetica" w:hAnsi="Helvetica" w:cs="Times New Roman"/>
        </w:rPr>
        <w:t xml:space="preserve"> RNA folding minimum free energy prediction of the structures of the </w:t>
      </w:r>
      <w:r w:rsidR="0075255B">
        <w:rPr>
          <w:rFonts w:ascii="Helvetica" w:hAnsi="Helvetica" w:cs="Times New Roman"/>
        </w:rPr>
        <w:t>5′ UTR</w:t>
      </w:r>
      <w:r w:rsidRPr="00817833">
        <w:rPr>
          <w:rFonts w:ascii="Helvetica" w:hAnsi="Helvetica" w:cs="Times New Roman"/>
        </w:rPr>
        <w:t xml:space="preserve">s of RAC1 (C) and ODC1 (D) using the ViennaRNA Package </w:t>
      </w:r>
      <w:r w:rsidRPr="00817833">
        <w:rPr>
          <w:rFonts w:ascii="Helvetica" w:hAnsi="Helvetica" w:cs="Times New Roman"/>
        </w:rPr>
        <w:fldChar w:fldCharType="begin"/>
      </w:r>
      <w:r w:rsidR="00E81DFC" w:rsidRPr="00817833">
        <w:rPr>
          <w:rFonts w:ascii="Helvetica" w:hAnsi="Helvetica" w:cs="Times New Roman"/>
        </w:rPr>
        <w:instrText xml:space="preserve"> ADDIN ZOTERO_ITEM CSL_CITATION {"citationID":"uom9KZHG","properties":{"formattedCitation":"(Lorenz et al., 2011)","plainCitation":"(Lorenz et al., 2011)","noteIndex":0},"citationItems":[{"id":766,"uris":["http://zotero.org/users/5691701/items/LT6X8P4B"],"itemData":{"id":766,"type":"article-journal","abstract":"Secondary structure forms an important intermediate level of description of nucleic acids that encapsulates the dominating part of the folding energy, is often well conserved in evolution, and is routinely used as a basis to explain experimental findings. Based on carefully measured thermodynamic parameters, exact dynamic programming algorithms can be used to compute ground states, base pairing probabilities, as well as thermodynamic properties.","container-title":"Algorithms for Molecular Biology","DOI":"10.1186/1748-7188-6-26","ISSN":"1748-7188","issue":"1","journalAbbreviation":"Algorithms for Molecular Biology","page":"26","source":"BioMed Central","title":"ViennaRNA Package 2.0","volume":"6","author":[{"family":"Lorenz","given":"Ronny"},{"family":"Bernhart","given":"Stephan H."},{"family":"Höner zu Siederdissen","given":"Christian"},{"family":"Tafer","given":"Hakim"},{"family":"Flamm","given":"Christoph"},{"family":"Stadler","given":"Peter F."},{"family":"Hofacker","given":"Ivo L."}],"issued":{"date-parts":[["2011",11,24]]}}}],"schema":"https://github.com/citation-style-language/schema/raw/master/csl-citation.json"} </w:instrText>
      </w:r>
      <w:r w:rsidRPr="00817833">
        <w:rPr>
          <w:rFonts w:ascii="Helvetica" w:hAnsi="Helvetica" w:cs="Times New Roman"/>
        </w:rPr>
        <w:fldChar w:fldCharType="separate"/>
      </w:r>
      <w:r w:rsidRPr="00817833">
        <w:rPr>
          <w:rFonts w:ascii="Helvetica" w:hAnsi="Helvetica" w:cs="Times New Roman"/>
          <w:noProof/>
        </w:rPr>
        <w:t>(Lorenz et al., 2011)</w:t>
      </w:r>
      <w:r w:rsidRPr="00817833">
        <w:rPr>
          <w:rFonts w:ascii="Helvetica" w:hAnsi="Helvetica" w:cs="Times New Roman"/>
        </w:rPr>
        <w:fldChar w:fldCharType="end"/>
      </w:r>
      <w:r w:rsidRPr="00817833">
        <w:rPr>
          <w:rFonts w:ascii="Helvetica" w:hAnsi="Helvetica" w:cs="Times New Roman"/>
        </w:rPr>
        <w:t xml:space="preserve">. The minimum free energy for the RAC1 structure is -97.20 kcal/mol and for the ODC1 is -251.70 kcal/mol. </w:t>
      </w:r>
    </w:p>
    <w:p w14:paraId="1F63EE06" w14:textId="77777777" w:rsidR="00C341B6" w:rsidRDefault="00C341B6" w:rsidP="002B29EA">
      <w:pPr>
        <w:pStyle w:val="ListParagraph"/>
        <w:ind w:left="0"/>
        <w:jc w:val="both"/>
        <w:rPr>
          <w:rFonts w:ascii="Helvetica" w:hAnsi="Helvetica" w:cs="Times New Roman"/>
          <w:b/>
          <w:bCs/>
        </w:rPr>
      </w:pPr>
    </w:p>
    <w:p w14:paraId="7645602B" w14:textId="77777777" w:rsidR="00C341B6" w:rsidRDefault="00C341B6" w:rsidP="002B29EA">
      <w:pPr>
        <w:pStyle w:val="ListParagraph"/>
        <w:ind w:left="0"/>
        <w:jc w:val="both"/>
        <w:rPr>
          <w:rFonts w:ascii="Helvetica" w:hAnsi="Helvetica" w:cs="Times New Roman"/>
          <w:b/>
          <w:bCs/>
        </w:rPr>
      </w:pPr>
    </w:p>
    <w:p w14:paraId="25717EE1" w14:textId="57AF2C5A" w:rsidR="002B29EA" w:rsidRPr="00817833" w:rsidRDefault="00045BB2" w:rsidP="002B29EA">
      <w:pPr>
        <w:pStyle w:val="ListParagraph"/>
        <w:ind w:left="0"/>
        <w:jc w:val="both"/>
        <w:rPr>
          <w:rFonts w:ascii="Helvetica" w:hAnsi="Helvetica" w:cs="Times New Roman"/>
        </w:rPr>
      </w:pPr>
      <w:r w:rsidRPr="00817833">
        <w:rPr>
          <w:rFonts w:ascii="Helvetica" w:hAnsi="Helvetica" w:cs="Times New Roman"/>
          <w:b/>
          <w:bCs/>
        </w:rPr>
        <w:t>Supplementary Figure 3 (A-E)</w:t>
      </w:r>
      <w:r w:rsidRPr="00817833">
        <w:rPr>
          <w:rFonts w:ascii="Helvetica" w:hAnsi="Helvetica" w:cs="Times New Roman"/>
        </w:rPr>
        <w:t xml:space="preserve"> RNA folding minimum free energy prediction of the structures of the </w:t>
      </w:r>
      <w:r w:rsidR="0075255B">
        <w:rPr>
          <w:rFonts w:ascii="Helvetica" w:hAnsi="Helvetica" w:cs="Times New Roman"/>
        </w:rPr>
        <w:t>5′ UTR</w:t>
      </w:r>
      <w:r w:rsidRPr="00817833">
        <w:rPr>
          <w:rFonts w:ascii="Helvetica" w:hAnsi="Helvetica" w:cs="Times New Roman"/>
        </w:rPr>
        <w:t xml:space="preserve"> of RAC1 containing the deletions used in Fig</w:t>
      </w:r>
      <w:r w:rsidR="00BE235A">
        <w:rPr>
          <w:rFonts w:ascii="Helvetica" w:hAnsi="Helvetica" w:cs="Times New Roman"/>
        </w:rPr>
        <w:t>.</w:t>
      </w:r>
      <w:r w:rsidRPr="00817833">
        <w:rPr>
          <w:rFonts w:ascii="Helvetica" w:hAnsi="Helvetica" w:cs="Times New Roman"/>
        </w:rPr>
        <w:t xml:space="preserve"> 3 B-C using the ViennaRNA Package </w:t>
      </w:r>
      <w:r w:rsidRPr="00817833">
        <w:rPr>
          <w:rFonts w:ascii="Helvetica" w:hAnsi="Helvetica" w:cs="Times New Roman"/>
        </w:rPr>
        <w:fldChar w:fldCharType="begin"/>
      </w:r>
      <w:r w:rsidR="00E81DFC" w:rsidRPr="00817833">
        <w:rPr>
          <w:rFonts w:ascii="Helvetica" w:hAnsi="Helvetica" w:cs="Times New Roman"/>
        </w:rPr>
        <w:instrText xml:space="preserve"> ADDIN ZOTERO_ITEM CSL_CITATION {"citationID":"zWJ0zruZ","properties":{"formattedCitation":"(Lorenz et al., 2011)","plainCitation":"(Lorenz et al., 2011)","noteIndex":0},"citationItems":[{"id":766,"uris":["http://zotero.org/users/5691701/items/LT6X8P4B"],"itemData":{"id":766,"type":"article-journal","abstract":"Secondary structure forms an important intermediate level of description of nucleic acids that encapsulates the dominating part of the folding energy, is often well conserved in evolution, and is routinely used as a basis to explain experimental findings. Based on carefully measured thermodynamic parameters, exact dynamic programming algorithms can be used to compute ground states, base pairing probabilities, as well as thermodynamic properties.","container-title":"Algorithms for Molecular Biology","DOI":"10.1186/1748-7188-6-26","ISSN":"1748-7188","issue":"1","journalAbbreviation":"Algorithms for Molecular Biology","page":"26","source":"BioMed Central","title":"ViennaRNA Package 2.0","volume":"6","author":[{"family":"Lorenz","given":"Ronny"},{"family":"Bernhart","given":"Stephan H."},{"family":"Höner zu Siederdissen","given":"Christian"},{"family":"Tafer","given":"Hakim"},{"family":"Flamm","given":"Christoph"},{"family":"Stadler","given":"Peter F."},{"family":"Hofacker","given":"Ivo L."}],"issued":{"date-parts":[["2011",11,24]]}}}],"schema":"https://github.com/citation-style-language/schema/raw/master/csl-citation.json"} </w:instrText>
      </w:r>
      <w:r w:rsidRPr="00817833">
        <w:rPr>
          <w:rFonts w:ascii="Helvetica" w:hAnsi="Helvetica" w:cs="Times New Roman"/>
        </w:rPr>
        <w:fldChar w:fldCharType="separate"/>
      </w:r>
      <w:r w:rsidRPr="00817833">
        <w:rPr>
          <w:rFonts w:ascii="Helvetica" w:hAnsi="Helvetica" w:cs="Times New Roman"/>
          <w:noProof/>
        </w:rPr>
        <w:t>(Lorenz et al., 2011)</w:t>
      </w:r>
      <w:r w:rsidRPr="00817833">
        <w:rPr>
          <w:rFonts w:ascii="Helvetica" w:hAnsi="Helvetica" w:cs="Times New Roman"/>
        </w:rPr>
        <w:fldChar w:fldCharType="end"/>
      </w:r>
      <w:r w:rsidRPr="00817833">
        <w:rPr>
          <w:rFonts w:ascii="Helvetica" w:hAnsi="Helvetica" w:cs="Times New Roman"/>
        </w:rPr>
        <w:t xml:space="preserve">. The </w:t>
      </w:r>
      <w:r w:rsidR="001E2770" w:rsidRPr="00817833">
        <w:rPr>
          <w:rFonts w:ascii="Helvetica" w:hAnsi="Helvetica" w:cs="Times New Roman"/>
        </w:rPr>
        <w:t xml:space="preserve">predicted </w:t>
      </w:r>
      <w:r w:rsidRPr="00817833">
        <w:rPr>
          <w:rFonts w:ascii="Helvetica" w:hAnsi="Helvetica" w:cs="Times New Roman"/>
        </w:rPr>
        <w:t>minimum free energ</w:t>
      </w:r>
      <w:r w:rsidR="002B29EA" w:rsidRPr="00817833">
        <w:rPr>
          <w:rFonts w:ascii="Helvetica" w:hAnsi="Helvetica" w:cs="Times New Roman"/>
        </w:rPr>
        <w:t>ies</w:t>
      </w:r>
      <w:r w:rsidRPr="00817833">
        <w:rPr>
          <w:rFonts w:ascii="Helvetica" w:hAnsi="Helvetica" w:cs="Times New Roman"/>
        </w:rPr>
        <w:t xml:space="preserve"> for the RAC1 </w:t>
      </w:r>
      <w:r w:rsidR="002B29EA" w:rsidRPr="00817833">
        <w:rPr>
          <w:rFonts w:ascii="Helvetica" w:hAnsi="Helvetica" w:cs="Times New Roman"/>
        </w:rPr>
        <w:t>deletion</w:t>
      </w:r>
      <w:r w:rsidR="001E2770" w:rsidRPr="00817833">
        <w:rPr>
          <w:rFonts w:ascii="Helvetica" w:hAnsi="Helvetica" w:cs="Times New Roman"/>
        </w:rPr>
        <w:t xml:space="preserve"> constructs </w:t>
      </w:r>
      <w:r w:rsidR="002B29EA" w:rsidRPr="00817833">
        <w:rPr>
          <w:rFonts w:ascii="Helvetica" w:hAnsi="Helvetica" w:cs="Times New Roman"/>
        </w:rPr>
        <w:t>are: -77.20 kcal/mol for Δ1-39</w:t>
      </w:r>
      <w:r w:rsidR="001D532B">
        <w:rPr>
          <w:rFonts w:ascii="Helvetica" w:hAnsi="Helvetica" w:cs="Times New Roman"/>
        </w:rPr>
        <w:t xml:space="preserve"> (A),</w:t>
      </w:r>
      <w:r w:rsidR="002B29EA" w:rsidRPr="00817833">
        <w:rPr>
          <w:rFonts w:ascii="Helvetica" w:hAnsi="Helvetica" w:cs="Times New Roman"/>
        </w:rPr>
        <w:t xml:space="preserve"> -69.60 kcal/mol for Δ40-78</w:t>
      </w:r>
      <w:r w:rsidR="001D532B">
        <w:rPr>
          <w:rFonts w:ascii="Helvetica" w:hAnsi="Helvetica" w:cs="Times New Roman"/>
        </w:rPr>
        <w:t xml:space="preserve"> (B)</w:t>
      </w:r>
      <w:r w:rsidR="002B29EA" w:rsidRPr="00817833">
        <w:rPr>
          <w:rFonts w:ascii="Helvetica" w:hAnsi="Helvetica" w:cs="Times New Roman"/>
        </w:rPr>
        <w:t>, -76.00 kcal/mol for Δ79-117</w:t>
      </w:r>
      <w:r w:rsidR="001D532B">
        <w:rPr>
          <w:rFonts w:ascii="Helvetica" w:hAnsi="Helvetica" w:cs="Times New Roman"/>
        </w:rPr>
        <w:t xml:space="preserve"> (C)</w:t>
      </w:r>
      <w:r w:rsidR="002B29EA" w:rsidRPr="00817833">
        <w:rPr>
          <w:rFonts w:ascii="Helvetica" w:hAnsi="Helvetica" w:cs="Times New Roman"/>
        </w:rPr>
        <w:t>, -82.40 kcal/mol for Δ118-157</w:t>
      </w:r>
      <w:r w:rsidR="001D532B">
        <w:rPr>
          <w:rFonts w:ascii="Helvetica" w:hAnsi="Helvetica" w:cs="Times New Roman"/>
        </w:rPr>
        <w:t xml:space="preserve"> (D)</w:t>
      </w:r>
      <w:r w:rsidR="002B29EA" w:rsidRPr="00817833">
        <w:rPr>
          <w:rFonts w:ascii="Helvetica" w:hAnsi="Helvetica" w:cs="Times New Roman"/>
        </w:rPr>
        <w:t>, -74.00 kcal/mol for Δ158-197</w:t>
      </w:r>
      <w:r w:rsidR="001D532B">
        <w:rPr>
          <w:rFonts w:ascii="Helvetica" w:hAnsi="Helvetica" w:cs="Times New Roman"/>
        </w:rPr>
        <w:t xml:space="preserve"> (E)</w:t>
      </w:r>
      <w:r w:rsidR="002B29EA" w:rsidRPr="00817833">
        <w:rPr>
          <w:rFonts w:ascii="Helvetica" w:hAnsi="Helvetica" w:cs="Times New Roman"/>
        </w:rPr>
        <w:t>.</w:t>
      </w:r>
      <w:r w:rsidR="001E2770" w:rsidRPr="00817833">
        <w:rPr>
          <w:rFonts w:ascii="Helvetica" w:hAnsi="Helvetica" w:cs="Times New Roman"/>
        </w:rPr>
        <w:t xml:space="preserve"> </w:t>
      </w:r>
      <w:r w:rsidR="00A83757" w:rsidRPr="00817833">
        <w:rPr>
          <w:rFonts w:ascii="Helvetica" w:hAnsi="Helvetica" w:cs="Times New Roman"/>
          <w:b/>
          <w:bCs/>
        </w:rPr>
        <w:t>(</w:t>
      </w:r>
      <w:r w:rsidRPr="00817833">
        <w:rPr>
          <w:rFonts w:ascii="Helvetica" w:hAnsi="Helvetica" w:cs="Times New Roman"/>
          <w:b/>
          <w:bCs/>
        </w:rPr>
        <w:t>F-J)</w:t>
      </w:r>
      <w:r w:rsidRPr="00817833">
        <w:rPr>
          <w:rFonts w:ascii="Helvetica" w:hAnsi="Helvetica" w:cs="Times New Roman"/>
        </w:rPr>
        <w:t xml:space="preserve"> RNA folding minimum free energy prediction of the structures of the </w:t>
      </w:r>
      <w:r w:rsidR="0075255B">
        <w:rPr>
          <w:rFonts w:ascii="Helvetica" w:hAnsi="Helvetica" w:cs="Times New Roman"/>
        </w:rPr>
        <w:t>5′ UTR</w:t>
      </w:r>
      <w:r w:rsidRPr="00817833">
        <w:rPr>
          <w:rFonts w:ascii="Helvetica" w:hAnsi="Helvetica" w:cs="Times New Roman"/>
        </w:rPr>
        <w:t xml:space="preserve"> of ODC1 containing the deletions used in Fi</w:t>
      </w:r>
      <w:r w:rsidR="00BE235A">
        <w:rPr>
          <w:rFonts w:ascii="Helvetica" w:hAnsi="Helvetica" w:cs="Times New Roman"/>
        </w:rPr>
        <w:t>g.</w:t>
      </w:r>
      <w:r w:rsidRPr="00817833">
        <w:rPr>
          <w:rFonts w:ascii="Helvetica" w:hAnsi="Helvetica" w:cs="Times New Roman"/>
        </w:rPr>
        <w:t xml:space="preserve"> 3 B-C using the ViennaRNA Package </w:t>
      </w:r>
      <w:r w:rsidRPr="00817833">
        <w:rPr>
          <w:rFonts w:ascii="Helvetica" w:hAnsi="Helvetica" w:cs="Times New Roman"/>
        </w:rPr>
        <w:fldChar w:fldCharType="begin"/>
      </w:r>
      <w:r w:rsidR="00E81DFC" w:rsidRPr="00817833">
        <w:rPr>
          <w:rFonts w:ascii="Helvetica" w:hAnsi="Helvetica" w:cs="Times New Roman"/>
        </w:rPr>
        <w:instrText xml:space="preserve"> ADDIN ZOTERO_ITEM CSL_CITATION {"citationID":"0qxaxP8f","properties":{"formattedCitation":"(Lorenz et al., 2011)","plainCitation":"(Lorenz et al., 2011)","noteIndex":0},"citationItems":[{"id":766,"uris":["http://zotero.org/users/5691701/items/LT6X8P4B"],"itemData":{"id":766,"type":"article-journal","abstract":"Secondary structure forms an important intermediate level of description of nucleic acids that encapsulates the dominating part of the folding energy, is often well conserved in evolution, and is routinely used as a basis to explain experimental findings. Based on carefully measured thermodynamic parameters, exact dynamic programming algorithms can be used to compute ground states, base pairing probabilities, as well as thermodynamic properties.","container-title":"Algorithms for Molecular Biology","DOI":"10.1186/1748-7188-6-26","ISSN":"1748-7188","issue":"1","journalAbbreviation":"Algorithms for Molecular Biology","page":"26","source":"BioMed Central","title":"ViennaRNA Package 2.0","volume":"6","author":[{"family":"Lorenz","given":"Ronny"},{"family":"Bernhart","given":"Stephan H."},{"family":"Höner zu Siederdissen","given":"Christian"},{"family":"Tafer","given":"Hakim"},{"family":"Flamm","given":"Christoph"},{"family":"Stadler","given":"Peter F."},{"family":"Hofacker","given":"Ivo L."}],"issued":{"date-parts":[["2011",11,24]]}}}],"schema":"https://github.com/citation-style-language/schema/raw/master/csl-citation.json"} </w:instrText>
      </w:r>
      <w:r w:rsidRPr="00817833">
        <w:rPr>
          <w:rFonts w:ascii="Helvetica" w:hAnsi="Helvetica" w:cs="Times New Roman"/>
        </w:rPr>
        <w:fldChar w:fldCharType="separate"/>
      </w:r>
      <w:r w:rsidRPr="00817833">
        <w:rPr>
          <w:rFonts w:ascii="Helvetica" w:hAnsi="Helvetica" w:cs="Times New Roman"/>
          <w:noProof/>
        </w:rPr>
        <w:t>(Lorenz et al., 2011)</w:t>
      </w:r>
      <w:r w:rsidRPr="00817833">
        <w:rPr>
          <w:rFonts w:ascii="Helvetica" w:hAnsi="Helvetica" w:cs="Times New Roman"/>
        </w:rPr>
        <w:fldChar w:fldCharType="end"/>
      </w:r>
      <w:r w:rsidRPr="00817833">
        <w:rPr>
          <w:rFonts w:ascii="Helvetica" w:hAnsi="Helvetica" w:cs="Times New Roman"/>
        </w:rPr>
        <w:t xml:space="preserve">. </w:t>
      </w:r>
      <w:r w:rsidR="001E2770" w:rsidRPr="00817833">
        <w:rPr>
          <w:rFonts w:ascii="Helvetica" w:hAnsi="Helvetica" w:cs="Times New Roman"/>
        </w:rPr>
        <w:t>The predicted minimum free energies for the ODC1 deletion constructs are:</w:t>
      </w:r>
      <w:r w:rsidR="002B29EA" w:rsidRPr="00817833">
        <w:rPr>
          <w:rFonts w:ascii="Helvetica" w:hAnsi="Helvetica" w:cs="Times New Roman"/>
        </w:rPr>
        <w:t xml:space="preserve"> -186.20 kcal/mol for Δ1-102</w:t>
      </w:r>
      <w:r w:rsidR="001D532B">
        <w:rPr>
          <w:rFonts w:ascii="Helvetica" w:hAnsi="Helvetica" w:cs="Times New Roman"/>
        </w:rPr>
        <w:t xml:space="preserve"> (F)</w:t>
      </w:r>
      <w:r w:rsidR="002B29EA" w:rsidRPr="00817833">
        <w:rPr>
          <w:rFonts w:ascii="Helvetica" w:hAnsi="Helvetica" w:cs="Times New Roman"/>
        </w:rPr>
        <w:t>, -197.80 kcal/mol for Δ103-204</w:t>
      </w:r>
      <w:r w:rsidR="001D532B">
        <w:rPr>
          <w:rFonts w:ascii="Helvetica" w:hAnsi="Helvetica" w:cs="Times New Roman"/>
        </w:rPr>
        <w:t xml:space="preserve"> (G)</w:t>
      </w:r>
      <w:r w:rsidR="002B29EA" w:rsidRPr="00817833">
        <w:rPr>
          <w:rFonts w:ascii="Helvetica" w:hAnsi="Helvetica" w:cs="Times New Roman"/>
        </w:rPr>
        <w:t>, -184.20 kcal/mol for Δ205-306</w:t>
      </w:r>
      <w:r w:rsidR="001D532B">
        <w:rPr>
          <w:rFonts w:ascii="Helvetica" w:hAnsi="Helvetica" w:cs="Times New Roman"/>
        </w:rPr>
        <w:t xml:space="preserve"> (H)</w:t>
      </w:r>
      <w:r w:rsidR="002B29EA" w:rsidRPr="00817833">
        <w:rPr>
          <w:rFonts w:ascii="Helvetica" w:hAnsi="Helvetica" w:cs="Times New Roman"/>
        </w:rPr>
        <w:t>, -200.30 kcal/mol for Δ307-408</w:t>
      </w:r>
      <w:r w:rsidR="001D532B">
        <w:rPr>
          <w:rFonts w:ascii="Helvetica" w:hAnsi="Helvetica" w:cs="Times New Roman"/>
        </w:rPr>
        <w:t xml:space="preserve"> (I)</w:t>
      </w:r>
      <w:r w:rsidR="002B29EA" w:rsidRPr="00817833">
        <w:rPr>
          <w:rFonts w:ascii="Helvetica" w:hAnsi="Helvetica" w:cs="Times New Roman"/>
        </w:rPr>
        <w:t>, -225.30 kcal/mol for Δ409-511</w:t>
      </w:r>
      <w:r w:rsidR="001D532B">
        <w:rPr>
          <w:rFonts w:ascii="Helvetica" w:hAnsi="Helvetica" w:cs="Times New Roman"/>
        </w:rPr>
        <w:t xml:space="preserve"> (J)</w:t>
      </w:r>
      <w:r w:rsidR="002B29EA" w:rsidRPr="00817833">
        <w:rPr>
          <w:rFonts w:ascii="Helvetica" w:hAnsi="Helvetica" w:cs="Times New Roman"/>
        </w:rPr>
        <w:t>.</w:t>
      </w:r>
    </w:p>
    <w:p w14:paraId="6DF047F1" w14:textId="3604D0C7" w:rsidR="00045BB2" w:rsidRPr="00817833" w:rsidRDefault="00045BB2" w:rsidP="00045BB2">
      <w:pPr>
        <w:pStyle w:val="ListParagraph"/>
        <w:ind w:left="0"/>
        <w:jc w:val="both"/>
        <w:rPr>
          <w:rFonts w:ascii="Helvetica" w:hAnsi="Helvetica" w:cs="Times New Roman"/>
        </w:rPr>
      </w:pPr>
    </w:p>
    <w:p w14:paraId="6DA604BA" w14:textId="77777777" w:rsidR="00C341B6" w:rsidRDefault="00C341B6" w:rsidP="00C341B6">
      <w:pPr>
        <w:rPr>
          <w:rFonts w:ascii="Helvetica" w:hAnsi="Helvetica" w:cs="Times New Roman"/>
          <w:b/>
          <w:bCs/>
        </w:rPr>
      </w:pPr>
    </w:p>
    <w:p w14:paraId="74834C44" w14:textId="4E6757F4" w:rsidR="00045BB2" w:rsidRPr="00AD3B9D" w:rsidRDefault="00045BB2" w:rsidP="00C341B6">
      <w:pPr>
        <w:rPr>
          <w:rFonts w:ascii="Helvetica" w:hAnsi="Helvetica" w:cs="Times New Roman"/>
          <w:b/>
          <w:bCs/>
        </w:rPr>
      </w:pPr>
      <w:r w:rsidRPr="00817833">
        <w:rPr>
          <w:rFonts w:ascii="Helvetica" w:hAnsi="Helvetica" w:cs="Times New Roman"/>
          <w:b/>
          <w:bCs/>
        </w:rPr>
        <w:t xml:space="preserve">Supplementary Figure 4 </w:t>
      </w:r>
      <w:r w:rsidR="00AD3B9D" w:rsidRPr="00817833">
        <w:rPr>
          <w:rFonts w:ascii="Helvetica" w:hAnsi="Helvetica" w:cs="Times New Roman"/>
          <w:b/>
          <w:bCs/>
        </w:rPr>
        <w:t>(</w:t>
      </w:r>
      <w:r w:rsidR="00AD3B9D">
        <w:rPr>
          <w:rFonts w:ascii="Helvetica" w:hAnsi="Helvetica" w:cs="Times New Roman"/>
          <w:b/>
          <w:bCs/>
        </w:rPr>
        <w:t>A</w:t>
      </w:r>
      <w:r w:rsidR="00AD3B9D" w:rsidRPr="00817833">
        <w:rPr>
          <w:rFonts w:ascii="Helvetica" w:hAnsi="Helvetica" w:cs="Times New Roman"/>
          <w:b/>
          <w:bCs/>
        </w:rPr>
        <w:t>)</w:t>
      </w:r>
      <w:r w:rsidR="00AD3B9D" w:rsidRPr="00817833">
        <w:rPr>
          <w:rFonts w:ascii="Helvetica" w:hAnsi="Helvetica" w:cs="Times New Roman"/>
        </w:rPr>
        <w:t xml:space="preserve"> Comparison of eIF4E-</w:t>
      </w:r>
      <w:r w:rsidR="00AD3B9D">
        <w:rPr>
          <w:rFonts w:ascii="Helvetica" w:hAnsi="Helvetica" w:cs="Times New Roman"/>
        </w:rPr>
        <w:t>binding-like motifs</w:t>
      </w:r>
      <w:r w:rsidR="00AD3B9D" w:rsidRPr="00817833">
        <w:rPr>
          <w:rFonts w:ascii="Helvetica" w:hAnsi="Helvetica" w:cs="Times New Roman"/>
        </w:rPr>
        <w:t>. The consensus eIF4E</w:t>
      </w:r>
      <w:r w:rsidR="00AD3B9D">
        <w:rPr>
          <w:rFonts w:ascii="Helvetica" w:hAnsi="Helvetica" w:cs="Times New Roman"/>
        </w:rPr>
        <w:t xml:space="preserve"> interacting protein motif </w:t>
      </w:r>
      <w:r w:rsidR="00AD3B9D" w:rsidRPr="00817833">
        <w:rPr>
          <w:rFonts w:ascii="Helvetica" w:hAnsi="Helvetica" w:cs="Times New Roman"/>
        </w:rPr>
        <w:t xml:space="preserve">is compared to the motifs </w:t>
      </w:r>
      <w:r w:rsidR="00AD3B9D">
        <w:rPr>
          <w:rFonts w:ascii="Helvetica" w:hAnsi="Helvetica" w:cs="Times New Roman"/>
        </w:rPr>
        <w:t xml:space="preserve">found </w:t>
      </w:r>
      <w:r w:rsidR="00AD3B9D" w:rsidRPr="00817833">
        <w:rPr>
          <w:rFonts w:ascii="Helvetica" w:hAnsi="Helvetica" w:cs="Times New Roman"/>
        </w:rPr>
        <w:t xml:space="preserve">in 4EBP1 and in DDX3X </w:t>
      </w:r>
      <w:r w:rsidR="00AD3B9D" w:rsidRPr="00817833">
        <w:rPr>
          <w:rFonts w:ascii="Helvetica" w:hAnsi="Helvetica" w:cs="Times New Roman"/>
          <w:b/>
          <w:bCs/>
        </w:rPr>
        <w:t>(</w:t>
      </w:r>
      <w:r w:rsidR="00AD3B9D">
        <w:rPr>
          <w:rFonts w:ascii="Helvetica" w:hAnsi="Helvetica" w:cs="Times New Roman"/>
          <w:b/>
          <w:bCs/>
        </w:rPr>
        <w:t>B</w:t>
      </w:r>
      <w:r w:rsidR="00AD3B9D" w:rsidRPr="00817833">
        <w:rPr>
          <w:rFonts w:ascii="Helvetica" w:hAnsi="Helvetica" w:cs="Times New Roman"/>
          <w:b/>
          <w:bCs/>
        </w:rPr>
        <w:t>)</w:t>
      </w:r>
      <w:r w:rsidR="00AD3B9D" w:rsidRPr="00817833">
        <w:rPr>
          <w:rFonts w:ascii="Helvetica" w:hAnsi="Helvetica" w:cs="Times New Roman"/>
        </w:rPr>
        <w:t xml:space="preserve"> </w:t>
      </w:r>
      <w:r w:rsidR="00AD3B9D" w:rsidRPr="00F618A5">
        <w:rPr>
          <w:rFonts w:ascii="Helvetica" w:hAnsi="Helvetica" w:cs="Times New Roman"/>
          <w:vertAlign w:val="superscript"/>
        </w:rPr>
        <w:t>15</w:t>
      </w:r>
      <w:r w:rsidR="00AD3B9D">
        <w:rPr>
          <w:rFonts w:ascii="Helvetica" w:hAnsi="Helvetica" w:cs="Times New Roman"/>
        </w:rPr>
        <w:t xml:space="preserve">N HSQC spectrum </w:t>
      </w:r>
      <w:r w:rsidR="00AD3B9D" w:rsidRPr="00817833">
        <w:rPr>
          <w:rFonts w:ascii="Helvetica" w:hAnsi="Helvetica" w:cs="Times New Roman"/>
        </w:rPr>
        <w:t xml:space="preserve">for m7G bound </w:t>
      </w:r>
      <w:r w:rsidR="00AD3B9D">
        <w:rPr>
          <w:rFonts w:ascii="Helvetica" w:hAnsi="Helvetica" w:cs="Times New Roman"/>
        </w:rPr>
        <w:t>eIF</w:t>
      </w:r>
      <w:r w:rsidR="00AD3B9D" w:rsidRPr="00817833">
        <w:rPr>
          <w:rFonts w:ascii="Helvetica" w:hAnsi="Helvetica" w:cs="Times New Roman"/>
        </w:rPr>
        <w:t xml:space="preserve">4E (in red) alone. </w:t>
      </w:r>
      <w:r w:rsidR="00AD3B9D" w:rsidRPr="00817833">
        <w:rPr>
          <w:rFonts w:ascii="Helvetica" w:hAnsi="Helvetica" w:cs="Times New Roman"/>
          <w:b/>
          <w:bCs/>
        </w:rPr>
        <w:t>(</w:t>
      </w:r>
      <w:r w:rsidR="00AD3B9D">
        <w:rPr>
          <w:rFonts w:ascii="Helvetica" w:hAnsi="Helvetica" w:cs="Times New Roman"/>
          <w:b/>
          <w:bCs/>
        </w:rPr>
        <w:t>C</w:t>
      </w:r>
      <w:r w:rsidR="00AD3B9D" w:rsidRPr="00817833">
        <w:rPr>
          <w:rFonts w:ascii="Helvetica" w:hAnsi="Helvetica" w:cs="Times New Roman"/>
          <w:b/>
          <w:bCs/>
        </w:rPr>
        <w:t xml:space="preserve">) </w:t>
      </w:r>
      <w:r w:rsidR="00AD3B9D" w:rsidRPr="00F618A5">
        <w:rPr>
          <w:rFonts w:ascii="Helvetica" w:hAnsi="Helvetica" w:cs="Times New Roman"/>
        </w:rPr>
        <w:t xml:space="preserve">HSQC spectra of </w:t>
      </w:r>
      <w:r w:rsidR="00AD3B9D" w:rsidRPr="00817833">
        <w:rPr>
          <w:rFonts w:ascii="Helvetica" w:hAnsi="Helvetica" w:cs="Times New Roman"/>
        </w:rPr>
        <w:t xml:space="preserve">m7G bound eIF4E alone (in red) and with the addition of </w:t>
      </w:r>
      <w:r w:rsidR="00AD3B9D">
        <w:rPr>
          <w:rFonts w:ascii="Helvetica" w:hAnsi="Helvetica" w:cs="Times New Roman"/>
        </w:rPr>
        <w:t>1mM</w:t>
      </w:r>
      <w:r w:rsidR="00AD3B9D" w:rsidRPr="00817833">
        <w:rPr>
          <w:rFonts w:ascii="Helvetica" w:hAnsi="Helvetica" w:cs="Times New Roman"/>
        </w:rPr>
        <w:t xml:space="preserve"> 4EBP1 </w:t>
      </w:r>
      <w:r w:rsidR="00AD3B9D">
        <w:rPr>
          <w:rFonts w:ascii="Helvetica" w:hAnsi="Helvetica" w:cs="Times New Roman"/>
        </w:rPr>
        <w:t xml:space="preserve">peptide </w:t>
      </w:r>
      <w:r w:rsidR="00AD3B9D" w:rsidRPr="00817833">
        <w:rPr>
          <w:rFonts w:ascii="Helvetica" w:hAnsi="Helvetica" w:cs="Times New Roman"/>
        </w:rPr>
        <w:t xml:space="preserve">(blue) </w:t>
      </w:r>
      <w:r w:rsidR="00AD3B9D" w:rsidRPr="00F618A5">
        <w:rPr>
          <w:rFonts w:ascii="Helvetica" w:hAnsi="Helvetica" w:cs="Times New Roman"/>
          <w:b/>
          <w:bCs/>
        </w:rPr>
        <w:t>(</w:t>
      </w:r>
      <w:r w:rsidR="00AD3B9D">
        <w:rPr>
          <w:rFonts w:ascii="Helvetica" w:hAnsi="Helvetica" w:cs="Times New Roman"/>
          <w:b/>
          <w:bCs/>
        </w:rPr>
        <w:t>D</w:t>
      </w:r>
      <w:r w:rsidR="00AD3B9D" w:rsidRPr="00F618A5">
        <w:rPr>
          <w:rFonts w:ascii="Helvetica" w:hAnsi="Helvetica" w:cs="Times New Roman"/>
          <w:b/>
          <w:bCs/>
        </w:rPr>
        <w:t>)</w:t>
      </w:r>
      <w:r w:rsidR="00AD3B9D" w:rsidRPr="00817833">
        <w:rPr>
          <w:rFonts w:ascii="Helvetica" w:hAnsi="Helvetica" w:cs="Times New Roman"/>
        </w:rPr>
        <w:t xml:space="preserve"> </w:t>
      </w:r>
      <w:r w:rsidR="00AD3B9D">
        <w:rPr>
          <w:rFonts w:ascii="Helvetica" w:hAnsi="Helvetica" w:cs="Times New Roman"/>
        </w:rPr>
        <w:t xml:space="preserve">HSQC spectra of </w:t>
      </w:r>
      <w:r w:rsidR="00AD3B9D" w:rsidRPr="00817833">
        <w:rPr>
          <w:rFonts w:ascii="Helvetica" w:hAnsi="Helvetica" w:cs="Times New Roman"/>
        </w:rPr>
        <w:t xml:space="preserve">m7G bound eIF4E alone (in red) and with the addition of </w:t>
      </w:r>
      <w:r w:rsidR="00AD3B9D">
        <w:rPr>
          <w:rFonts w:ascii="Helvetica" w:hAnsi="Helvetica" w:cs="Times New Roman"/>
        </w:rPr>
        <w:t>1 mM</w:t>
      </w:r>
      <w:r w:rsidR="00AD3B9D" w:rsidRPr="00817833">
        <w:rPr>
          <w:rFonts w:ascii="Helvetica" w:hAnsi="Helvetica" w:cs="Times New Roman"/>
        </w:rPr>
        <w:t xml:space="preserve"> DDX3X</w:t>
      </w:r>
      <w:r w:rsidR="00AD3B9D">
        <w:rPr>
          <w:rFonts w:ascii="Helvetica" w:hAnsi="Helvetica" w:cs="Times New Roman"/>
        </w:rPr>
        <w:t xml:space="preserve"> peptide</w:t>
      </w:r>
      <w:r w:rsidR="00AD3B9D" w:rsidRPr="00817833">
        <w:rPr>
          <w:rFonts w:ascii="Helvetica" w:hAnsi="Helvetica" w:cs="Times New Roman"/>
        </w:rPr>
        <w:t xml:space="preserve"> (green).</w:t>
      </w:r>
      <w:r w:rsidR="00AD3B9D">
        <w:rPr>
          <w:rFonts w:ascii="Helvetica" w:hAnsi="Helvetica" w:cs="Times New Roman"/>
        </w:rPr>
        <w:t xml:space="preserve"> </w:t>
      </w:r>
      <w:r w:rsidR="003B3FFE" w:rsidRPr="00817833">
        <w:rPr>
          <w:rFonts w:ascii="Helvetica" w:hAnsi="Helvetica" w:cs="Times New Roman"/>
          <w:b/>
          <w:bCs/>
        </w:rPr>
        <w:t>(</w:t>
      </w:r>
      <w:r w:rsidR="00AD3B9D">
        <w:rPr>
          <w:rFonts w:ascii="Helvetica" w:hAnsi="Helvetica" w:cs="Times New Roman"/>
          <w:b/>
          <w:bCs/>
        </w:rPr>
        <w:t>E</w:t>
      </w:r>
      <w:r w:rsidR="003B3FFE" w:rsidRPr="00817833">
        <w:rPr>
          <w:rFonts w:ascii="Helvetica" w:hAnsi="Helvetica" w:cs="Times New Roman"/>
          <w:b/>
          <w:bCs/>
        </w:rPr>
        <w:t>)</w:t>
      </w:r>
      <w:r w:rsidR="003B3FFE" w:rsidRPr="00817833">
        <w:rPr>
          <w:rFonts w:ascii="Helvetica" w:hAnsi="Helvetica" w:cs="Times New Roman"/>
        </w:rPr>
        <w:t xml:space="preserve"> </w:t>
      </w:r>
      <w:r w:rsidR="003B3FFE">
        <w:rPr>
          <w:rFonts w:ascii="Helvetica" w:hAnsi="Helvetica" w:cs="Times New Roman"/>
        </w:rPr>
        <w:t>Immunofluorescence</w:t>
      </w:r>
      <w:r w:rsidR="003B3FFE" w:rsidRPr="00817833">
        <w:rPr>
          <w:rFonts w:ascii="Helvetica" w:hAnsi="Helvetica" w:cs="Times New Roman"/>
        </w:rPr>
        <w:t xml:space="preserve"> for DDX3X WT and mutants. Images are representative</w:t>
      </w:r>
      <w:r w:rsidR="003B3FFE">
        <w:rPr>
          <w:rFonts w:ascii="Helvetica" w:hAnsi="Helvetica" w:cs="Times New Roman"/>
        </w:rPr>
        <w:t xml:space="preserve"> of N &gt; 10 cells</w:t>
      </w:r>
      <w:r w:rsidR="003B3FFE" w:rsidRPr="00817833">
        <w:rPr>
          <w:rFonts w:ascii="Helvetica" w:hAnsi="Helvetica" w:cs="Times New Roman"/>
        </w:rPr>
        <w:t>.</w:t>
      </w:r>
      <w:r w:rsidR="003B3FFE">
        <w:rPr>
          <w:rFonts w:ascii="Helvetica" w:hAnsi="Helvetica" w:cs="Times New Roman"/>
        </w:rPr>
        <w:t xml:space="preserve"> </w:t>
      </w:r>
      <w:r w:rsidR="003B3FFE" w:rsidRPr="00817833">
        <w:rPr>
          <w:rFonts w:ascii="Helvetica" w:hAnsi="Helvetica" w:cs="Times New Roman"/>
        </w:rPr>
        <w:t>HEK 293T cells were transduced with DDX3X-FLAG construct, fixed, and stained for anti-DDX3X and the nuclear marker DRAQ7</w:t>
      </w:r>
      <w:r w:rsidR="003B3FFE">
        <w:rPr>
          <w:rFonts w:ascii="Helvetica" w:hAnsi="Helvetica" w:cs="Times New Roman"/>
        </w:rPr>
        <w:t xml:space="preserve"> </w:t>
      </w:r>
      <w:r w:rsidR="003B3FFE" w:rsidRPr="00817833">
        <w:rPr>
          <w:rFonts w:ascii="Helvetica" w:hAnsi="Helvetica" w:cs="Times New Roman"/>
        </w:rPr>
        <w:t>(Fig</w:t>
      </w:r>
      <w:r w:rsidR="00BE235A">
        <w:rPr>
          <w:rFonts w:ascii="Helvetica" w:hAnsi="Helvetica" w:cs="Times New Roman"/>
        </w:rPr>
        <w:t>.</w:t>
      </w:r>
      <w:r w:rsidR="003B3FFE" w:rsidRPr="00817833">
        <w:rPr>
          <w:rFonts w:ascii="Helvetica" w:hAnsi="Helvetica" w:cs="Times New Roman"/>
        </w:rPr>
        <w:t xml:space="preserve"> 4G).</w:t>
      </w:r>
    </w:p>
    <w:p w14:paraId="71CA2F3E" w14:textId="77777777" w:rsidR="00045BB2" w:rsidRPr="00817833" w:rsidRDefault="00045BB2" w:rsidP="00045BB2">
      <w:pPr>
        <w:pStyle w:val="ListParagraph"/>
        <w:ind w:left="0"/>
        <w:jc w:val="both"/>
        <w:rPr>
          <w:rFonts w:ascii="Helvetica" w:hAnsi="Helvetica" w:cs="Times New Roman"/>
        </w:rPr>
      </w:pPr>
    </w:p>
    <w:p w14:paraId="23AADB6E" w14:textId="77777777" w:rsidR="00C341B6" w:rsidRDefault="00C341B6" w:rsidP="00C341B6">
      <w:pPr>
        <w:rPr>
          <w:rFonts w:ascii="Helvetica" w:hAnsi="Helvetica" w:cs="Times New Roman"/>
          <w:b/>
          <w:bCs/>
        </w:rPr>
      </w:pPr>
    </w:p>
    <w:p w14:paraId="4F0D4C09" w14:textId="56194CF9" w:rsidR="00FA0CD9" w:rsidRPr="006205F7" w:rsidRDefault="00FA0CD9" w:rsidP="00C341B6">
      <w:pPr>
        <w:rPr>
          <w:rFonts w:ascii="Helvetica" w:hAnsi="Helvetica" w:cs="Times New Roman"/>
          <w:b/>
          <w:bCs/>
        </w:rPr>
      </w:pPr>
      <w:r w:rsidRPr="00817833">
        <w:rPr>
          <w:rFonts w:ascii="Helvetica" w:hAnsi="Helvetica" w:cs="Times New Roman"/>
          <w:b/>
          <w:bCs/>
        </w:rPr>
        <w:t xml:space="preserve">Supplementary Figure 5 </w:t>
      </w:r>
      <w:r w:rsidR="00FD1648">
        <w:rPr>
          <w:rFonts w:ascii="Helvetica" w:hAnsi="Helvetica" w:cs="Times New Roman"/>
          <w:b/>
          <w:bCs/>
        </w:rPr>
        <w:t xml:space="preserve">(A) </w:t>
      </w:r>
      <w:r w:rsidR="00FD1648" w:rsidRPr="00817833">
        <w:rPr>
          <w:rFonts w:ascii="Helvetica" w:hAnsi="Helvetica" w:cs="Times New Roman"/>
        </w:rPr>
        <w:t xml:space="preserve">Violin plot for HART ratio in </w:t>
      </w:r>
      <w:r w:rsidR="00EA5FFC">
        <w:rPr>
          <w:rFonts w:ascii="Helvetica" w:hAnsi="Helvetica" w:cs="Times New Roman"/>
        </w:rPr>
        <w:t xml:space="preserve">HART-ODC1 </w:t>
      </w:r>
      <w:r w:rsidR="00FD1648">
        <w:rPr>
          <w:rFonts w:ascii="Helvetica" w:hAnsi="Helvetica" w:cs="Times New Roman"/>
        </w:rPr>
        <w:t>HCT116</w:t>
      </w:r>
      <w:r w:rsidR="00FD1648" w:rsidRPr="00817833">
        <w:rPr>
          <w:rFonts w:ascii="Helvetica" w:hAnsi="Helvetica" w:cs="Times New Roman"/>
        </w:rPr>
        <w:t xml:space="preserve"> degron cells analyzed with flow cytometry for the experiment in Fig</w:t>
      </w:r>
      <w:r w:rsidR="00EA5FFC">
        <w:rPr>
          <w:rFonts w:ascii="Helvetica" w:hAnsi="Helvetica" w:cs="Times New Roman"/>
        </w:rPr>
        <w:t>.</w:t>
      </w:r>
      <w:r w:rsidR="00FD1648" w:rsidRPr="00817833">
        <w:rPr>
          <w:rFonts w:ascii="Helvetica" w:hAnsi="Helvetica" w:cs="Times New Roman"/>
        </w:rPr>
        <w:t xml:space="preserve"> </w:t>
      </w:r>
      <w:r w:rsidR="00FD1648">
        <w:rPr>
          <w:rFonts w:ascii="Helvetica" w:hAnsi="Helvetica" w:cs="Times New Roman"/>
        </w:rPr>
        <w:t>5A</w:t>
      </w:r>
      <w:r w:rsidR="00FD1648" w:rsidRPr="00817833">
        <w:rPr>
          <w:rFonts w:ascii="Helvetica" w:hAnsi="Helvetica" w:cs="Times New Roman"/>
        </w:rPr>
        <w:t>.</w:t>
      </w:r>
      <w:r w:rsidR="00FD1648">
        <w:rPr>
          <w:rFonts w:ascii="Helvetica" w:hAnsi="Helvetica" w:cs="Times New Roman"/>
        </w:rPr>
        <w:t xml:space="preserve"> </w:t>
      </w:r>
      <w:r w:rsidR="00EA5FFC">
        <w:rPr>
          <w:rFonts w:ascii="Helvetica" w:hAnsi="Helvetica" w:cs="Times New Roman"/>
          <w:b/>
          <w:bCs/>
        </w:rPr>
        <w:t xml:space="preserve">(B) </w:t>
      </w:r>
      <w:r w:rsidR="00EA5FFC" w:rsidRPr="00817833">
        <w:rPr>
          <w:rFonts w:ascii="Helvetica" w:hAnsi="Helvetica" w:cs="Times New Roman"/>
        </w:rPr>
        <w:t xml:space="preserve">Violin plot for HART ratio in </w:t>
      </w:r>
      <w:r w:rsidR="00EA5FFC">
        <w:rPr>
          <w:rFonts w:ascii="Helvetica" w:hAnsi="Helvetica" w:cs="Times New Roman"/>
        </w:rPr>
        <w:t>HART-ODC1 HCT116</w:t>
      </w:r>
      <w:r w:rsidR="00EA5FFC" w:rsidRPr="00817833">
        <w:rPr>
          <w:rFonts w:ascii="Helvetica" w:hAnsi="Helvetica" w:cs="Times New Roman"/>
        </w:rPr>
        <w:t xml:space="preserve"> degron cells analyzed with flow cytometry for the experiment in Fig</w:t>
      </w:r>
      <w:r w:rsidR="00EA5FFC">
        <w:rPr>
          <w:rFonts w:ascii="Helvetica" w:hAnsi="Helvetica" w:cs="Times New Roman"/>
        </w:rPr>
        <w:t>. 5B</w:t>
      </w:r>
      <w:r w:rsidR="00EA5FFC" w:rsidRPr="00817833">
        <w:rPr>
          <w:rFonts w:ascii="Helvetica" w:hAnsi="Helvetica" w:cs="Times New Roman"/>
        </w:rPr>
        <w:t>.</w:t>
      </w:r>
      <w:r w:rsidR="00EA5FFC" w:rsidRPr="006205F7">
        <w:rPr>
          <w:rFonts w:ascii="Helvetica" w:hAnsi="Helvetica" w:cs="Times New Roman"/>
          <w:b/>
          <w:bCs/>
        </w:rPr>
        <w:t xml:space="preserve"> </w:t>
      </w:r>
      <w:r w:rsidR="00FD1648" w:rsidRPr="006205F7">
        <w:rPr>
          <w:rFonts w:ascii="Helvetica" w:hAnsi="Helvetica" w:cs="Times New Roman"/>
          <w:b/>
          <w:bCs/>
        </w:rPr>
        <w:t>(C)</w:t>
      </w:r>
      <w:r w:rsidR="00FD1648">
        <w:rPr>
          <w:rFonts w:ascii="Helvetica" w:hAnsi="Helvetica" w:cs="Times New Roman"/>
        </w:rPr>
        <w:t xml:space="preserve"> Western blot </w:t>
      </w:r>
      <w:r w:rsidR="00342887">
        <w:rPr>
          <w:rFonts w:ascii="Helvetica" w:hAnsi="Helvetica" w:cs="Times New Roman"/>
        </w:rPr>
        <w:t xml:space="preserve">and band quantification </w:t>
      </w:r>
      <w:r w:rsidR="00FD1648">
        <w:rPr>
          <w:rFonts w:ascii="Helvetica" w:hAnsi="Helvetica" w:cs="Times New Roman"/>
        </w:rPr>
        <w:t>for the cells from Fig</w:t>
      </w:r>
      <w:r w:rsidR="00BE235A">
        <w:rPr>
          <w:rFonts w:ascii="Helvetica" w:hAnsi="Helvetica" w:cs="Times New Roman"/>
        </w:rPr>
        <w:t>.</w:t>
      </w:r>
      <w:r w:rsidR="00FD1648">
        <w:rPr>
          <w:rFonts w:ascii="Helvetica" w:hAnsi="Helvetica" w:cs="Times New Roman"/>
        </w:rPr>
        <w:t xml:space="preserve"> 5A</w:t>
      </w:r>
      <w:r w:rsidR="00E25DA1">
        <w:rPr>
          <w:rFonts w:ascii="Helvetica" w:hAnsi="Helvetica" w:cs="Times New Roman"/>
        </w:rPr>
        <w:t xml:space="preserve"> with staining against actin</w:t>
      </w:r>
      <w:r w:rsidR="00342887">
        <w:rPr>
          <w:rFonts w:ascii="Helvetica" w:hAnsi="Helvetica" w:cs="Times New Roman"/>
        </w:rPr>
        <w:t>, DDX3X,</w:t>
      </w:r>
      <w:r w:rsidR="00E25DA1">
        <w:rPr>
          <w:rFonts w:ascii="Helvetica" w:hAnsi="Helvetica" w:cs="Times New Roman"/>
        </w:rPr>
        <w:t xml:space="preserve"> and FLAG. </w:t>
      </w:r>
      <w:r w:rsidR="00DE7CF0">
        <w:rPr>
          <w:rFonts w:ascii="Helvetica" w:hAnsi="Helvetica" w:cs="Times New Roman"/>
        </w:rPr>
        <w:t xml:space="preserve">Degron-tagged endogenous DDX3X </w:t>
      </w:r>
      <w:r w:rsidR="00DE7CF0">
        <w:rPr>
          <w:rFonts w:ascii="Helvetica" w:hAnsi="Helvetica" w:cs="Times New Roman"/>
        </w:rPr>
        <w:lastRenderedPageBreak/>
        <w:t xml:space="preserve">and transduced exogenous DDX3X possess the same size, hence the appearance of a single band which is double the size for the transduced samples. </w:t>
      </w:r>
      <w:r w:rsidRPr="006205F7">
        <w:rPr>
          <w:rFonts w:ascii="Helvetica" w:hAnsi="Helvetica" w:cs="Times New Roman"/>
        </w:rPr>
        <w:t>(</w:t>
      </w:r>
      <w:r w:rsidR="00FD1648" w:rsidRPr="00FD1648">
        <w:rPr>
          <w:rFonts w:ascii="Helvetica" w:hAnsi="Helvetica" w:cs="Times New Roman"/>
          <w:b/>
          <w:bCs/>
        </w:rPr>
        <w:t>D</w:t>
      </w:r>
      <w:r w:rsidRPr="006205F7">
        <w:rPr>
          <w:rFonts w:ascii="Helvetica" w:hAnsi="Helvetica" w:cs="Times New Roman"/>
        </w:rPr>
        <w:t>)</w:t>
      </w:r>
      <w:r w:rsidRPr="00817833">
        <w:rPr>
          <w:rFonts w:ascii="Helvetica" w:hAnsi="Helvetica" w:cs="Times New Roman"/>
          <w:b/>
          <w:bCs/>
        </w:rPr>
        <w:t xml:space="preserve"> </w:t>
      </w:r>
      <w:r w:rsidRPr="00817833">
        <w:rPr>
          <w:rFonts w:ascii="Helvetica" w:hAnsi="Helvetica" w:cs="Times New Roman"/>
        </w:rPr>
        <w:t>Cell growth curves for DDX3X variants. HCT116 degron cells where lentivirally transduced with exogenous DDX3X WT and mutants.</w:t>
      </w:r>
      <w:r w:rsidRPr="00817833">
        <w:rPr>
          <w:rFonts w:ascii="Helvetica" w:hAnsi="Helvetica" w:cs="Times New Roman"/>
          <w:b/>
          <w:bCs/>
        </w:rPr>
        <w:t xml:space="preserve"> </w:t>
      </w:r>
      <w:r w:rsidRPr="00817833">
        <w:rPr>
          <w:rFonts w:ascii="Helvetica" w:hAnsi="Helvetica" w:cs="Times New Roman"/>
        </w:rPr>
        <w:t>Auxin was added to induce loss of endogenous DDX3X and cell number was measured over time with CellTiter Glo.</w:t>
      </w:r>
    </w:p>
    <w:p w14:paraId="55F930BE" w14:textId="77777777" w:rsidR="00045BB2" w:rsidRPr="00817833" w:rsidRDefault="00045BB2" w:rsidP="00045BB2">
      <w:pPr>
        <w:jc w:val="both"/>
        <w:rPr>
          <w:rFonts w:ascii="Helvetica" w:hAnsi="Helvetica" w:cs="Times New Roman"/>
        </w:rPr>
      </w:pPr>
    </w:p>
    <w:sectPr w:rsidR="00045BB2" w:rsidRPr="00817833" w:rsidSect="00331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A5724" w14:textId="77777777" w:rsidR="00681378" w:rsidRDefault="00681378" w:rsidP="00AB14B8">
      <w:r>
        <w:separator/>
      </w:r>
    </w:p>
  </w:endnote>
  <w:endnote w:type="continuationSeparator" w:id="0">
    <w:p w14:paraId="66050884" w14:textId="77777777" w:rsidR="00681378" w:rsidRDefault="00681378" w:rsidP="00AB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C95B" w14:textId="77777777" w:rsidR="00681378" w:rsidRDefault="00681378" w:rsidP="00AB14B8">
      <w:r>
        <w:separator/>
      </w:r>
    </w:p>
  </w:footnote>
  <w:footnote w:type="continuationSeparator" w:id="0">
    <w:p w14:paraId="7FCE4C72" w14:textId="77777777" w:rsidR="00681378" w:rsidRDefault="00681378" w:rsidP="00AB1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85A08"/>
    <w:multiLevelType w:val="multilevel"/>
    <w:tmpl w:val="0409001D"/>
    <w:styleLink w:val="Style4"/>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A746DBC"/>
    <w:multiLevelType w:val="hybridMultilevel"/>
    <w:tmpl w:val="4DE474C4"/>
    <w:lvl w:ilvl="0" w:tplc="B5A05A72">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1B3FD1"/>
    <w:multiLevelType w:val="multilevel"/>
    <w:tmpl w:val="0409001D"/>
    <w:numStyleLink w:val="Style4"/>
  </w:abstractNum>
  <w:abstractNum w:abstractNumId="3" w15:restartNumberingAfterBreak="0">
    <w:nsid w:val="37835762"/>
    <w:multiLevelType w:val="multilevel"/>
    <w:tmpl w:val="0409001D"/>
    <w:styleLink w:val="Style1"/>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677E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0F83A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52B55"/>
    <w:multiLevelType w:val="multilevel"/>
    <w:tmpl w:val="0409001D"/>
    <w:styleLink w:val="Style3"/>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DF54CA7"/>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7EE47F7"/>
    <w:multiLevelType w:val="hybridMultilevel"/>
    <w:tmpl w:val="284A126C"/>
    <w:lvl w:ilvl="0" w:tplc="073C098C">
      <w:start w:val="1"/>
      <w:numFmt w:val="bullet"/>
      <w:lvlText w:val="•"/>
      <w:lvlJc w:val="left"/>
      <w:pPr>
        <w:tabs>
          <w:tab w:val="num" w:pos="720"/>
        </w:tabs>
        <w:ind w:left="720" w:hanging="360"/>
      </w:pPr>
      <w:rPr>
        <w:rFonts w:ascii="Arial" w:hAnsi="Arial" w:hint="default"/>
      </w:rPr>
    </w:lvl>
    <w:lvl w:ilvl="1" w:tplc="91E0BF3E">
      <w:start w:val="1"/>
      <w:numFmt w:val="bullet"/>
      <w:lvlText w:val="•"/>
      <w:lvlJc w:val="left"/>
      <w:pPr>
        <w:tabs>
          <w:tab w:val="num" w:pos="1440"/>
        </w:tabs>
        <w:ind w:left="1440" w:hanging="360"/>
      </w:pPr>
      <w:rPr>
        <w:rFonts w:ascii="Arial" w:hAnsi="Arial" w:hint="default"/>
      </w:rPr>
    </w:lvl>
    <w:lvl w:ilvl="2" w:tplc="2C7AB99E" w:tentative="1">
      <w:start w:val="1"/>
      <w:numFmt w:val="bullet"/>
      <w:lvlText w:val="•"/>
      <w:lvlJc w:val="left"/>
      <w:pPr>
        <w:tabs>
          <w:tab w:val="num" w:pos="2160"/>
        </w:tabs>
        <w:ind w:left="2160" w:hanging="360"/>
      </w:pPr>
      <w:rPr>
        <w:rFonts w:ascii="Arial" w:hAnsi="Arial" w:hint="default"/>
      </w:rPr>
    </w:lvl>
    <w:lvl w:ilvl="3" w:tplc="67E4FBEE" w:tentative="1">
      <w:start w:val="1"/>
      <w:numFmt w:val="bullet"/>
      <w:lvlText w:val="•"/>
      <w:lvlJc w:val="left"/>
      <w:pPr>
        <w:tabs>
          <w:tab w:val="num" w:pos="2880"/>
        </w:tabs>
        <w:ind w:left="2880" w:hanging="360"/>
      </w:pPr>
      <w:rPr>
        <w:rFonts w:ascii="Arial" w:hAnsi="Arial" w:hint="default"/>
      </w:rPr>
    </w:lvl>
    <w:lvl w:ilvl="4" w:tplc="803A9BF6" w:tentative="1">
      <w:start w:val="1"/>
      <w:numFmt w:val="bullet"/>
      <w:lvlText w:val="•"/>
      <w:lvlJc w:val="left"/>
      <w:pPr>
        <w:tabs>
          <w:tab w:val="num" w:pos="3600"/>
        </w:tabs>
        <w:ind w:left="3600" w:hanging="360"/>
      </w:pPr>
      <w:rPr>
        <w:rFonts w:ascii="Arial" w:hAnsi="Arial" w:hint="default"/>
      </w:rPr>
    </w:lvl>
    <w:lvl w:ilvl="5" w:tplc="B6A2E176" w:tentative="1">
      <w:start w:val="1"/>
      <w:numFmt w:val="bullet"/>
      <w:lvlText w:val="•"/>
      <w:lvlJc w:val="left"/>
      <w:pPr>
        <w:tabs>
          <w:tab w:val="num" w:pos="4320"/>
        </w:tabs>
        <w:ind w:left="4320" w:hanging="360"/>
      </w:pPr>
      <w:rPr>
        <w:rFonts w:ascii="Arial" w:hAnsi="Arial" w:hint="default"/>
      </w:rPr>
    </w:lvl>
    <w:lvl w:ilvl="6" w:tplc="022E1550" w:tentative="1">
      <w:start w:val="1"/>
      <w:numFmt w:val="bullet"/>
      <w:lvlText w:val="•"/>
      <w:lvlJc w:val="left"/>
      <w:pPr>
        <w:tabs>
          <w:tab w:val="num" w:pos="5040"/>
        </w:tabs>
        <w:ind w:left="5040" w:hanging="360"/>
      </w:pPr>
      <w:rPr>
        <w:rFonts w:ascii="Arial" w:hAnsi="Arial" w:hint="default"/>
      </w:rPr>
    </w:lvl>
    <w:lvl w:ilvl="7" w:tplc="066CC658" w:tentative="1">
      <w:start w:val="1"/>
      <w:numFmt w:val="bullet"/>
      <w:lvlText w:val="•"/>
      <w:lvlJc w:val="left"/>
      <w:pPr>
        <w:tabs>
          <w:tab w:val="num" w:pos="5760"/>
        </w:tabs>
        <w:ind w:left="5760" w:hanging="360"/>
      </w:pPr>
      <w:rPr>
        <w:rFonts w:ascii="Arial" w:hAnsi="Arial" w:hint="default"/>
      </w:rPr>
    </w:lvl>
    <w:lvl w:ilvl="8" w:tplc="9202ED60" w:tentative="1">
      <w:start w:val="1"/>
      <w:numFmt w:val="bullet"/>
      <w:lvlText w:val="•"/>
      <w:lvlJc w:val="left"/>
      <w:pPr>
        <w:tabs>
          <w:tab w:val="num" w:pos="6480"/>
        </w:tabs>
        <w:ind w:left="6480" w:hanging="360"/>
      </w:pPr>
      <w:rPr>
        <w:rFonts w:ascii="Arial" w:hAnsi="Arial" w:hint="default"/>
      </w:rPr>
    </w:lvl>
  </w:abstractNum>
  <w:num w:numId="1" w16cid:durableId="607278330">
    <w:abstractNumId w:val="5"/>
  </w:num>
  <w:num w:numId="2" w16cid:durableId="117459331">
    <w:abstractNumId w:val="3"/>
  </w:num>
  <w:num w:numId="3" w16cid:durableId="1891569425">
    <w:abstractNumId w:val="2"/>
  </w:num>
  <w:num w:numId="4" w16cid:durableId="1176264945">
    <w:abstractNumId w:val="8"/>
  </w:num>
  <w:num w:numId="5" w16cid:durableId="6100368">
    <w:abstractNumId w:val="7"/>
  </w:num>
  <w:num w:numId="6" w16cid:durableId="99952386">
    <w:abstractNumId w:val="6"/>
  </w:num>
  <w:num w:numId="7" w16cid:durableId="1551645998">
    <w:abstractNumId w:val="4"/>
  </w:num>
  <w:num w:numId="8" w16cid:durableId="1467119377">
    <w:abstractNumId w:val="0"/>
  </w:num>
  <w:num w:numId="9" w16cid:durableId="148801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56"/>
    <w:rsid w:val="000039D9"/>
    <w:rsid w:val="0000637E"/>
    <w:rsid w:val="00024877"/>
    <w:rsid w:val="00045BB2"/>
    <w:rsid w:val="000638DA"/>
    <w:rsid w:val="00072110"/>
    <w:rsid w:val="000C4B01"/>
    <w:rsid w:val="000D31A8"/>
    <w:rsid w:val="000E7430"/>
    <w:rsid w:val="000F3FF6"/>
    <w:rsid w:val="00106425"/>
    <w:rsid w:val="001157F1"/>
    <w:rsid w:val="001340CE"/>
    <w:rsid w:val="00134A09"/>
    <w:rsid w:val="00142071"/>
    <w:rsid w:val="001421D1"/>
    <w:rsid w:val="00164E66"/>
    <w:rsid w:val="00173834"/>
    <w:rsid w:val="00197ED8"/>
    <w:rsid w:val="001B3C9F"/>
    <w:rsid w:val="001C448B"/>
    <w:rsid w:val="001C671B"/>
    <w:rsid w:val="001D0322"/>
    <w:rsid w:val="001D532B"/>
    <w:rsid w:val="001E2770"/>
    <w:rsid w:val="001E5152"/>
    <w:rsid w:val="001F77C8"/>
    <w:rsid w:val="0020346A"/>
    <w:rsid w:val="00211363"/>
    <w:rsid w:val="00215117"/>
    <w:rsid w:val="002257EF"/>
    <w:rsid w:val="00226D70"/>
    <w:rsid w:val="00227E33"/>
    <w:rsid w:val="00245600"/>
    <w:rsid w:val="00254A91"/>
    <w:rsid w:val="002925BB"/>
    <w:rsid w:val="00296A1C"/>
    <w:rsid w:val="002A76A5"/>
    <w:rsid w:val="002B29EA"/>
    <w:rsid w:val="002F0C05"/>
    <w:rsid w:val="00311558"/>
    <w:rsid w:val="003251F2"/>
    <w:rsid w:val="00331D41"/>
    <w:rsid w:val="003345EC"/>
    <w:rsid w:val="00342887"/>
    <w:rsid w:val="00347A82"/>
    <w:rsid w:val="00364C17"/>
    <w:rsid w:val="003721BE"/>
    <w:rsid w:val="00376D1C"/>
    <w:rsid w:val="00393D25"/>
    <w:rsid w:val="003B3FFE"/>
    <w:rsid w:val="003C10DC"/>
    <w:rsid w:val="003D3132"/>
    <w:rsid w:val="003E2F09"/>
    <w:rsid w:val="003E43F9"/>
    <w:rsid w:val="003F7A25"/>
    <w:rsid w:val="00402272"/>
    <w:rsid w:val="004117DC"/>
    <w:rsid w:val="00411EA9"/>
    <w:rsid w:val="004308B4"/>
    <w:rsid w:val="0044186D"/>
    <w:rsid w:val="00446154"/>
    <w:rsid w:val="00446333"/>
    <w:rsid w:val="004615AE"/>
    <w:rsid w:val="00465D8B"/>
    <w:rsid w:val="0048517B"/>
    <w:rsid w:val="004B1E0C"/>
    <w:rsid w:val="004F13AE"/>
    <w:rsid w:val="00511F28"/>
    <w:rsid w:val="005150CF"/>
    <w:rsid w:val="00527BB6"/>
    <w:rsid w:val="00547026"/>
    <w:rsid w:val="005661CD"/>
    <w:rsid w:val="00567565"/>
    <w:rsid w:val="00570ED7"/>
    <w:rsid w:val="005C2C7F"/>
    <w:rsid w:val="005C5E98"/>
    <w:rsid w:val="005D3256"/>
    <w:rsid w:val="005E36F4"/>
    <w:rsid w:val="005E552D"/>
    <w:rsid w:val="005E7BD8"/>
    <w:rsid w:val="00613A62"/>
    <w:rsid w:val="006205F7"/>
    <w:rsid w:val="00626302"/>
    <w:rsid w:val="00642A79"/>
    <w:rsid w:val="006452FC"/>
    <w:rsid w:val="006567B0"/>
    <w:rsid w:val="00660C30"/>
    <w:rsid w:val="0068086B"/>
    <w:rsid w:val="00681378"/>
    <w:rsid w:val="00684BDA"/>
    <w:rsid w:val="00692496"/>
    <w:rsid w:val="00696D18"/>
    <w:rsid w:val="006A200C"/>
    <w:rsid w:val="006C0CB1"/>
    <w:rsid w:val="006C33D3"/>
    <w:rsid w:val="006E5676"/>
    <w:rsid w:val="006F2E6B"/>
    <w:rsid w:val="00726CAC"/>
    <w:rsid w:val="007457E5"/>
    <w:rsid w:val="00752385"/>
    <w:rsid w:val="0075255B"/>
    <w:rsid w:val="00777C88"/>
    <w:rsid w:val="007A67EC"/>
    <w:rsid w:val="007D0612"/>
    <w:rsid w:val="007E2F8C"/>
    <w:rsid w:val="00805BD3"/>
    <w:rsid w:val="00817833"/>
    <w:rsid w:val="00835B18"/>
    <w:rsid w:val="00844897"/>
    <w:rsid w:val="00845F93"/>
    <w:rsid w:val="00873AA3"/>
    <w:rsid w:val="008B1243"/>
    <w:rsid w:val="009111B4"/>
    <w:rsid w:val="009372DF"/>
    <w:rsid w:val="00941B86"/>
    <w:rsid w:val="00950144"/>
    <w:rsid w:val="00950E33"/>
    <w:rsid w:val="00951DC6"/>
    <w:rsid w:val="0097116C"/>
    <w:rsid w:val="0098218D"/>
    <w:rsid w:val="00984013"/>
    <w:rsid w:val="00993695"/>
    <w:rsid w:val="009A7E37"/>
    <w:rsid w:val="009B0A70"/>
    <w:rsid w:val="009C50D8"/>
    <w:rsid w:val="009C575D"/>
    <w:rsid w:val="009E0A08"/>
    <w:rsid w:val="009F748C"/>
    <w:rsid w:val="00A35B37"/>
    <w:rsid w:val="00A40194"/>
    <w:rsid w:val="00A571CC"/>
    <w:rsid w:val="00A574D9"/>
    <w:rsid w:val="00A83757"/>
    <w:rsid w:val="00AA4A8C"/>
    <w:rsid w:val="00AA68CF"/>
    <w:rsid w:val="00AA7840"/>
    <w:rsid w:val="00AB0C8E"/>
    <w:rsid w:val="00AB14B8"/>
    <w:rsid w:val="00AD3B9D"/>
    <w:rsid w:val="00AE0147"/>
    <w:rsid w:val="00AE4FA6"/>
    <w:rsid w:val="00AF354F"/>
    <w:rsid w:val="00B01488"/>
    <w:rsid w:val="00B14064"/>
    <w:rsid w:val="00B26471"/>
    <w:rsid w:val="00B50E1C"/>
    <w:rsid w:val="00B61E9C"/>
    <w:rsid w:val="00B70196"/>
    <w:rsid w:val="00B82A51"/>
    <w:rsid w:val="00B92DD4"/>
    <w:rsid w:val="00BB02C5"/>
    <w:rsid w:val="00BC59E4"/>
    <w:rsid w:val="00BD778F"/>
    <w:rsid w:val="00BE235A"/>
    <w:rsid w:val="00BE3E7D"/>
    <w:rsid w:val="00BF7452"/>
    <w:rsid w:val="00C0114A"/>
    <w:rsid w:val="00C02712"/>
    <w:rsid w:val="00C05490"/>
    <w:rsid w:val="00C30C88"/>
    <w:rsid w:val="00C341B6"/>
    <w:rsid w:val="00C42C51"/>
    <w:rsid w:val="00CA5AA1"/>
    <w:rsid w:val="00CB1647"/>
    <w:rsid w:val="00CD1BF3"/>
    <w:rsid w:val="00D041B2"/>
    <w:rsid w:val="00D04468"/>
    <w:rsid w:val="00D3118A"/>
    <w:rsid w:val="00D40C3A"/>
    <w:rsid w:val="00D6368D"/>
    <w:rsid w:val="00D7031B"/>
    <w:rsid w:val="00D94AD5"/>
    <w:rsid w:val="00DE6C4F"/>
    <w:rsid w:val="00DE7CF0"/>
    <w:rsid w:val="00DF3970"/>
    <w:rsid w:val="00DF3E84"/>
    <w:rsid w:val="00E052DA"/>
    <w:rsid w:val="00E21B9E"/>
    <w:rsid w:val="00E25DA1"/>
    <w:rsid w:val="00E45D12"/>
    <w:rsid w:val="00E74BAE"/>
    <w:rsid w:val="00E816AC"/>
    <w:rsid w:val="00E81DFC"/>
    <w:rsid w:val="00E85AE5"/>
    <w:rsid w:val="00E9581F"/>
    <w:rsid w:val="00EA1A66"/>
    <w:rsid w:val="00EA5FFC"/>
    <w:rsid w:val="00EB6468"/>
    <w:rsid w:val="00EF274C"/>
    <w:rsid w:val="00F055F2"/>
    <w:rsid w:val="00F23DDA"/>
    <w:rsid w:val="00F26B81"/>
    <w:rsid w:val="00F44751"/>
    <w:rsid w:val="00F5795E"/>
    <w:rsid w:val="00F618A5"/>
    <w:rsid w:val="00F75DC7"/>
    <w:rsid w:val="00F920CC"/>
    <w:rsid w:val="00F94E2D"/>
    <w:rsid w:val="00FA0CD9"/>
    <w:rsid w:val="00FC38D6"/>
    <w:rsid w:val="00FD1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50BCC2"/>
  <w15:chartTrackingRefBased/>
  <w15:docId w15:val="{9ACC7C9A-2106-094F-ADF2-FF0088E2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256"/>
    <w:pPr>
      <w:ind w:left="720"/>
      <w:contextualSpacing/>
    </w:pPr>
  </w:style>
  <w:style w:type="numbering" w:customStyle="1" w:styleId="Style1">
    <w:name w:val="Style1"/>
    <w:uiPriority w:val="99"/>
    <w:rsid w:val="005D3256"/>
    <w:pPr>
      <w:numPr>
        <w:numId w:val="2"/>
      </w:numPr>
    </w:pPr>
  </w:style>
  <w:style w:type="numbering" w:customStyle="1" w:styleId="Style2">
    <w:name w:val="Style2"/>
    <w:uiPriority w:val="99"/>
    <w:rsid w:val="00984013"/>
    <w:pPr>
      <w:numPr>
        <w:numId w:val="5"/>
      </w:numPr>
    </w:pPr>
  </w:style>
  <w:style w:type="numbering" w:customStyle="1" w:styleId="Style3">
    <w:name w:val="Style3"/>
    <w:uiPriority w:val="99"/>
    <w:rsid w:val="00570ED7"/>
    <w:pPr>
      <w:numPr>
        <w:numId w:val="6"/>
      </w:numPr>
    </w:pPr>
  </w:style>
  <w:style w:type="numbering" w:customStyle="1" w:styleId="Style4">
    <w:name w:val="Style4"/>
    <w:uiPriority w:val="99"/>
    <w:rsid w:val="00570ED7"/>
    <w:pPr>
      <w:numPr>
        <w:numId w:val="8"/>
      </w:numPr>
    </w:pPr>
  </w:style>
  <w:style w:type="paragraph" w:styleId="FootnoteText">
    <w:name w:val="footnote text"/>
    <w:basedOn w:val="Normal"/>
    <w:link w:val="FootnoteTextChar"/>
    <w:uiPriority w:val="99"/>
    <w:semiHidden/>
    <w:unhideWhenUsed/>
    <w:rsid w:val="00AB14B8"/>
    <w:rPr>
      <w:sz w:val="20"/>
      <w:szCs w:val="20"/>
    </w:rPr>
  </w:style>
  <w:style w:type="character" w:customStyle="1" w:styleId="FootnoteTextChar">
    <w:name w:val="Footnote Text Char"/>
    <w:basedOn w:val="DefaultParagraphFont"/>
    <w:link w:val="FootnoteText"/>
    <w:uiPriority w:val="99"/>
    <w:semiHidden/>
    <w:rsid w:val="00AB14B8"/>
    <w:rPr>
      <w:sz w:val="20"/>
      <w:szCs w:val="20"/>
    </w:rPr>
  </w:style>
  <w:style w:type="character" w:styleId="FootnoteReference">
    <w:name w:val="footnote reference"/>
    <w:basedOn w:val="DefaultParagraphFont"/>
    <w:uiPriority w:val="99"/>
    <w:semiHidden/>
    <w:unhideWhenUsed/>
    <w:rsid w:val="00AB14B8"/>
    <w:rPr>
      <w:vertAlign w:val="superscript"/>
    </w:rPr>
  </w:style>
  <w:style w:type="paragraph" w:styleId="EndnoteText">
    <w:name w:val="endnote text"/>
    <w:basedOn w:val="Normal"/>
    <w:link w:val="EndnoteTextChar"/>
    <w:uiPriority w:val="99"/>
    <w:semiHidden/>
    <w:unhideWhenUsed/>
    <w:rsid w:val="00AB14B8"/>
    <w:rPr>
      <w:sz w:val="20"/>
      <w:szCs w:val="20"/>
    </w:rPr>
  </w:style>
  <w:style w:type="character" w:customStyle="1" w:styleId="EndnoteTextChar">
    <w:name w:val="Endnote Text Char"/>
    <w:basedOn w:val="DefaultParagraphFont"/>
    <w:link w:val="EndnoteText"/>
    <w:uiPriority w:val="99"/>
    <w:semiHidden/>
    <w:rsid w:val="00AB14B8"/>
    <w:rPr>
      <w:sz w:val="20"/>
      <w:szCs w:val="20"/>
    </w:rPr>
  </w:style>
  <w:style w:type="character" w:styleId="EndnoteReference">
    <w:name w:val="endnote reference"/>
    <w:basedOn w:val="DefaultParagraphFont"/>
    <w:uiPriority w:val="99"/>
    <w:semiHidden/>
    <w:unhideWhenUsed/>
    <w:rsid w:val="00AB14B8"/>
    <w:rPr>
      <w:vertAlign w:val="superscript"/>
    </w:rPr>
  </w:style>
  <w:style w:type="paragraph" w:styleId="Revision">
    <w:name w:val="Revision"/>
    <w:hidden/>
    <w:uiPriority w:val="99"/>
    <w:semiHidden/>
    <w:rsid w:val="00024877"/>
  </w:style>
  <w:style w:type="character" w:styleId="CommentReference">
    <w:name w:val="annotation reference"/>
    <w:basedOn w:val="DefaultParagraphFont"/>
    <w:uiPriority w:val="99"/>
    <w:semiHidden/>
    <w:unhideWhenUsed/>
    <w:rsid w:val="00692496"/>
    <w:rPr>
      <w:sz w:val="16"/>
      <w:szCs w:val="16"/>
    </w:rPr>
  </w:style>
  <w:style w:type="paragraph" w:styleId="CommentText">
    <w:name w:val="annotation text"/>
    <w:basedOn w:val="Normal"/>
    <w:link w:val="CommentTextChar"/>
    <w:uiPriority w:val="99"/>
    <w:semiHidden/>
    <w:unhideWhenUsed/>
    <w:rsid w:val="00692496"/>
    <w:rPr>
      <w:sz w:val="20"/>
      <w:szCs w:val="20"/>
    </w:rPr>
  </w:style>
  <w:style w:type="character" w:customStyle="1" w:styleId="CommentTextChar">
    <w:name w:val="Comment Text Char"/>
    <w:basedOn w:val="DefaultParagraphFont"/>
    <w:link w:val="CommentText"/>
    <w:uiPriority w:val="99"/>
    <w:semiHidden/>
    <w:rsid w:val="00692496"/>
    <w:rPr>
      <w:sz w:val="20"/>
      <w:szCs w:val="20"/>
    </w:rPr>
  </w:style>
  <w:style w:type="paragraph" w:styleId="CommentSubject">
    <w:name w:val="annotation subject"/>
    <w:basedOn w:val="CommentText"/>
    <w:next w:val="CommentText"/>
    <w:link w:val="CommentSubjectChar"/>
    <w:uiPriority w:val="99"/>
    <w:semiHidden/>
    <w:unhideWhenUsed/>
    <w:rsid w:val="00692496"/>
    <w:rPr>
      <w:b/>
      <w:bCs/>
    </w:rPr>
  </w:style>
  <w:style w:type="character" w:customStyle="1" w:styleId="CommentSubjectChar">
    <w:name w:val="Comment Subject Char"/>
    <w:basedOn w:val="CommentTextChar"/>
    <w:link w:val="CommentSubject"/>
    <w:uiPriority w:val="99"/>
    <w:semiHidden/>
    <w:rsid w:val="006924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06936">
      <w:bodyDiv w:val="1"/>
      <w:marLeft w:val="0"/>
      <w:marRight w:val="0"/>
      <w:marTop w:val="0"/>
      <w:marBottom w:val="0"/>
      <w:divBdr>
        <w:top w:val="none" w:sz="0" w:space="0" w:color="auto"/>
        <w:left w:val="none" w:sz="0" w:space="0" w:color="auto"/>
        <w:bottom w:val="none" w:sz="0" w:space="0" w:color="auto"/>
        <w:right w:val="none" w:sz="0" w:space="0" w:color="auto"/>
      </w:divBdr>
    </w:div>
    <w:div w:id="1426534816">
      <w:bodyDiv w:val="1"/>
      <w:marLeft w:val="0"/>
      <w:marRight w:val="0"/>
      <w:marTop w:val="0"/>
      <w:marBottom w:val="0"/>
      <w:divBdr>
        <w:top w:val="none" w:sz="0" w:space="0" w:color="auto"/>
        <w:left w:val="none" w:sz="0" w:space="0" w:color="auto"/>
        <w:bottom w:val="none" w:sz="0" w:space="0" w:color="auto"/>
        <w:right w:val="none" w:sz="0" w:space="0" w:color="auto"/>
      </w:divBdr>
    </w:div>
    <w:div w:id="1887447772">
      <w:bodyDiv w:val="1"/>
      <w:marLeft w:val="0"/>
      <w:marRight w:val="0"/>
      <w:marTop w:val="0"/>
      <w:marBottom w:val="0"/>
      <w:divBdr>
        <w:top w:val="none" w:sz="0" w:space="0" w:color="auto"/>
        <w:left w:val="none" w:sz="0" w:space="0" w:color="auto"/>
        <w:bottom w:val="none" w:sz="0" w:space="0" w:color="auto"/>
        <w:right w:val="none" w:sz="0" w:space="0" w:color="auto"/>
      </w:divBdr>
    </w:div>
    <w:div w:id="1939022281">
      <w:bodyDiv w:val="1"/>
      <w:marLeft w:val="0"/>
      <w:marRight w:val="0"/>
      <w:marTop w:val="0"/>
      <w:marBottom w:val="0"/>
      <w:divBdr>
        <w:top w:val="none" w:sz="0" w:space="0" w:color="auto"/>
        <w:left w:val="none" w:sz="0" w:space="0" w:color="auto"/>
        <w:bottom w:val="none" w:sz="0" w:space="0" w:color="auto"/>
        <w:right w:val="none" w:sz="0" w:space="0" w:color="auto"/>
      </w:divBdr>
      <w:divsChild>
        <w:div w:id="34821579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Kevin</dc:creator>
  <cp:keywords/>
  <dc:description/>
  <cp:lastModifiedBy>Microsoft Office User</cp:lastModifiedBy>
  <cp:revision>5</cp:revision>
  <dcterms:created xsi:type="dcterms:W3CDTF">2024-04-16T08:56:00Z</dcterms:created>
  <dcterms:modified xsi:type="dcterms:W3CDTF">2024-05-02T15:56:00Z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id="GCpFMkDQ"/&gt;&lt;style id="http://www.zotero.org/styles/apa" locale="en-US" hasBibliography="1" bibliographyStyleHasBeenSet="0"/&gt;&lt;prefs&gt;&lt;pref name="fieldType" value="Field"/&gt;&lt;/prefs&gt;&lt;/data&gt;</vt:lpwstr>
  </property>
  <property fmtid="{D5CDD505-2E9C-101B-9397-08002B2CF9AE}" pid="3" name="ZOTERO_PREF_2">
    <vt:lpwstr/>
  </property>
</Properties>
</file>