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827" w:rsidRDefault="005E3111">
      <w:pPr>
        <w:rPr>
          <w:rFonts w:ascii="Arial" w:hAnsi="Arial" w:cs="Arial"/>
          <w:b/>
          <w:bCs/>
        </w:rPr>
      </w:pPr>
      <w:bookmarkStart w:id="0" w:name="_GoBack"/>
      <w:bookmarkEnd w:id="0"/>
      <w:r w:rsidRPr="00FA58AD">
        <w:rPr>
          <w:rFonts w:ascii="Arial" w:hAnsi="Arial" w:cs="Arial"/>
          <w:b/>
          <w:bCs/>
        </w:rPr>
        <w:t>Supplemental information</w:t>
      </w:r>
    </w:p>
    <w:p w:rsidR="00977777" w:rsidRDefault="00977777">
      <w:pPr>
        <w:rPr>
          <w:rFonts w:ascii="Arial" w:hAnsi="Arial" w:cs="Arial"/>
          <w:b/>
          <w:bCs/>
        </w:rPr>
      </w:pPr>
    </w:p>
    <w:p w:rsidR="00977777" w:rsidRPr="00FA58AD" w:rsidRDefault="00977777">
      <w:pPr>
        <w:rPr>
          <w:rFonts w:ascii="Arial" w:hAnsi="Arial" w:cs="Arial"/>
          <w:b/>
          <w:bCs/>
        </w:rPr>
      </w:pPr>
    </w:p>
    <w:p w:rsidR="005E3111" w:rsidRPr="00FA58AD" w:rsidRDefault="005E3111">
      <w:pPr>
        <w:rPr>
          <w:rFonts w:ascii="Arial" w:hAnsi="Arial" w:cs="Arial"/>
          <w:b/>
          <w:bCs/>
        </w:rPr>
      </w:pPr>
    </w:p>
    <w:p w:rsidR="00977777" w:rsidRPr="00977777" w:rsidRDefault="00977777" w:rsidP="00977777">
      <w:pPr>
        <w:spacing w:after="280" w:line="480" w:lineRule="auto"/>
        <w:rPr>
          <w:rFonts w:ascii="Arial" w:eastAsia="Arial" w:hAnsi="Arial" w:cs="Arial"/>
          <w:b/>
          <w:kern w:val="0"/>
          <w:lang w:val="en-GB" w:eastAsia="en-GB"/>
          <w14:ligatures w14:val="none"/>
        </w:rPr>
      </w:pPr>
      <w:r w:rsidRPr="00977777">
        <w:rPr>
          <w:rFonts w:ascii="Arial" w:eastAsia="Arial" w:hAnsi="Arial" w:cs="Arial"/>
          <w:b/>
          <w:kern w:val="0"/>
          <w:lang w:val="en-GB" w:eastAsia="en-GB"/>
          <w14:ligatures w14:val="none"/>
        </w:rPr>
        <w:t xml:space="preserve">Cytosolic RNA binding of the mitochondrial TCA cycle enzyme malate dehydrogenase (MDH2) </w:t>
      </w:r>
    </w:p>
    <w:p w:rsidR="00977777" w:rsidRPr="00977777" w:rsidRDefault="00977777" w:rsidP="00977777">
      <w:pPr>
        <w:spacing w:after="280" w:line="480" w:lineRule="auto"/>
        <w:rPr>
          <w:rFonts w:ascii="Arial" w:eastAsia="Arial" w:hAnsi="Arial" w:cs="Arial"/>
          <w:kern w:val="0"/>
          <w:vertAlign w:val="superscript"/>
          <w:lang w:val="en-GB" w:eastAsia="en-GB"/>
          <w14:ligatures w14:val="none"/>
        </w:rPr>
      </w:pPr>
      <w:r w:rsidRPr="00977777">
        <w:rPr>
          <w:rFonts w:ascii="Arial" w:eastAsia="Arial" w:hAnsi="Arial" w:cs="Arial"/>
          <w:kern w:val="0"/>
          <w:lang w:val="en-GB" w:eastAsia="en-GB"/>
          <w14:ligatures w14:val="none"/>
        </w:rPr>
        <w:t>Michelle Noble</w:t>
      </w:r>
      <w:r w:rsidRPr="00977777">
        <w:rPr>
          <w:rFonts w:ascii="Arial" w:eastAsia="Arial" w:hAnsi="Arial" w:cs="Arial"/>
          <w:kern w:val="0"/>
          <w:vertAlign w:val="superscript"/>
          <w:lang w:val="en-GB" w:eastAsia="en-GB"/>
          <w14:ligatures w14:val="none"/>
        </w:rPr>
        <w:t>1,2</w:t>
      </w:r>
      <w:r w:rsidRPr="00977777">
        <w:rPr>
          <w:rFonts w:ascii="Arial" w:eastAsia="Arial" w:hAnsi="Arial" w:cs="Arial"/>
          <w:kern w:val="0"/>
          <w:lang w:val="en-GB" w:eastAsia="en-GB"/>
          <w14:ligatures w14:val="none"/>
        </w:rPr>
        <w:t xml:space="preserve">, </w:t>
      </w:r>
      <w:proofErr w:type="spellStart"/>
      <w:r w:rsidRPr="00977777">
        <w:rPr>
          <w:rFonts w:ascii="Arial" w:eastAsia="Arial" w:hAnsi="Arial" w:cs="Arial"/>
          <w:kern w:val="0"/>
          <w:lang w:val="en-GB" w:eastAsia="en-GB"/>
          <w14:ligatures w14:val="none"/>
        </w:rPr>
        <w:t>Aindrila</w:t>
      </w:r>
      <w:proofErr w:type="spellEnd"/>
      <w:r w:rsidRPr="00977777">
        <w:rPr>
          <w:rFonts w:ascii="Arial" w:eastAsia="Arial" w:hAnsi="Arial" w:cs="Arial"/>
          <w:kern w:val="0"/>
          <w:lang w:val="en-GB" w:eastAsia="en-GB"/>
          <w14:ligatures w14:val="none"/>
        </w:rPr>
        <w:t xml:space="preserve"> Chatterjee</w:t>
      </w:r>
      <w:r w:rsidRPr="00977777">
        <w:rPr>
          <w:rFonts w:ascii="Arial" w:eastAsia="Arial" w:hAnsi="Arial" w:cs="Arial"/>
          <w:kern w:val="0"/>
          <w:vertAlign w:val="superscript"/>
          <w:lang w:val="en-GB" w:eastAsia="en-GB"/>
          <w14:ligatures w14:val="none"/>
        </w:rPr>
        <w:t>1</w:t>
      </w:r>
      <w:r w:rsidRPr="00977777">
        <w:rPr>
          <w:rFonts w:ascii="Arial" w:eastAsia="Arial" w:hAnsi="Arial" w:cs="Arial"/>
          <w:kern w:val="0"/>
          <w:lang w:val="en-GB" w:eastAsia="en-GB"/>
          <w14:ligatures w14:val="none"/>
        </w:rPr>
        <w:t xml:space="preserve">, </w:t>
      </w:r>
      <w:proofErr w:type="spellStart"/>
      <w:r w:rsidRPr="00977777">
        <w:rPr>
          <w:rFonts w:ascii="Arial" w:eastAsia="Arial" w:hAnsi="Arial" w:cs="Arial"/>
          <w:kern w:val="0"/>
          <w:lang w:val="en-GB" w:eastAsia="en-GB"/>
          <w14:ligatures w14:val="none"/>
        </w:rPr>
        <w:t>Thileepan</w:t>
      </w:r>
      <w:proofErr w:type="spellEnd"/>
      <w:r w:rsidRPr="00977777">
        <w:rPr>
          <w:rFonts w:ascii="Arial" w:eastAsia="Arial" w:hAnsi="Arial" w:cs="Arial"/>
          <w:kern w:val="0"/>
          <w:lang w:val="en-GB" w:eastAsia="en-GB"/>
          <w14:ligatures w14:val="none"/>
        </w:rPr>
        <w:t xml:space="preserve"> Sekaran</w:t>
      </w:r>
      <w:r w:rsidRPr="00977777">
        <w:rPr>
          <w:rFonts w:ascii="Arial" w:eastAsia="Arial" w:hAnsi="Arial" w:cs="Arial"/>
          <w:kern w:val="0"/>
          <w:vertAlign w:val="superscript"/>
          <w:lang w:val="en-GB" w:eastAsia="en-GB"/>
          <w14:ligatures w14:val="none"/>
        </w:rPr>
        <w:t>1</w:t>
      </w:r>
      <w:r w:rsidRPr="00977777">
        <w:rPr>
          <w:rFonts w:ascii="Arial" w:eastAsia="Arial" w:hAnsi="Arial" w:cs="Arial"/>
          <w:kern w:val="0"/>
          <w:lang w:val="en-GB" w:eastAsia="en-GB"/>
          <w14:ligatures w14:val="none"/>
        </w:rPr>
        <w:t>, Thomas Schwarzl</w:t>
      </w:r>
      <w:r w:rsidRPr="00977777">
        <w:rPr>
          <w:rFonts w:ascii="Arial" w:eastAsia="Arial" w:hAnsi="Arial" w:cs="Arial"/>
          <w:kern w:val="0"/>
          <w:vertAlign w:val="superscript"/>
          <w:lang w:val="en-GB" w:eastAsia="en-GB"/>
          <w14:ligatures w14:val="none"/>
        </w:rPr>
        <w:t>1</w:t>
      </w:r>
      <w:r w:rsidRPr="00977777">
        <w:rPr>
          <w:rFonts w:ascii="Arial" w:eastAsia="Arial" w:hAnsi="Arial" w:cs="Arial"/>
          <w:kern w:val="0"/>
          <w:lang w:val="en-GB" w:eastAsia="en-GB"/>
          <w14:ligatures w14:val="none"/>
        </w:rPr>
        <w:t>, and Matthias W. Hentze</w:t>
      </w:r>
      <w:r w:rsidRPr="00977777">
        <w:rPr>
          <w:rFonts w:ascii="Arial" w:eastAsia="Arial" w:hAnsi="Arial" w:cs="Arial"/>
          <w:kern w:val="0"/>
          <w:vertAlign w:val="superscript"/>
          <w:lang w:val="en-GB" w:eastAsia="en-GB"/>
          <w14:ligatures w14:val="none"/>
        </w:rPr>
        <w:t>1*</w:t>
      </w:r>
    </w:p>
    <w:p w:rsidR="00B3061C" w:rsidRPr="00B3061C" w:rsidRDefault="00B3061C" w:rsidP="00B3061C">
      <w:pPr>
        <w:suppressLineNumbers/>
        <w:spacing w:after="280" w:line="480" w:lineRule="auto"/>
        <w:rPr>
          <w:rFonts w:ascii="Arial" w:eastAsia="Arial" w:hAnsi="Arial" w:cs="Arial"/>
          <w:kern w:val="0"/>
          <w:lang w:val="en-GB" w:eastAsia="en-GB"/>
          <w14:ligatures w14:val="none"/>
        </w:rPr>
      </w:pPr>
      <w:r w:rsidRPr="00B3061C">
        <w:rPr>
          <w:rFonts w:ascii="Arial" w:eastAsia="Arial" w:hAnsi="Arial" w:cs="Arial"/>
          <w:kern w:val="0"/>
          <w:vertAlign w:val="superscript"/>
          <w:lang w:val="en-GB" w:eastAsia="en-GB"/>
          <w14:ligatures w14:val="none"/>
        </w:rPr>
        <w:t>1</w:t>
      </w:r>
      <w:r w:rsidRPr="00B3061C">
        <w:rPr>
          <w:rFonts w:ascii="Arial" w:eastAsia="Arial" w:hAnsi="Arial" w:cs="Arial"/>
          <w:kern w:val="0"/>
          <w:lang w:val="en-GB" w:eastAsia="en-GB"/>
          <w14:ligatures w14:val="none"/>
        </w:rPr>
        <w:t xml:space="preserve">European Molecular Biology Laboratory (EMBL), </w:t>
      </w:r>
      <w:proofErr w:type="spellStart"/>
      <w:r w:rsidRPr="00B3061C">
        <w:rPr>
          <w:rFonts w:ascii="Arial" w:eastAsia="Arial" w:hAnsi="Arial" w:cs="Arial"/>
          <w:kern w:val="0"/>
          <w:lang w:val="en-GB" w:eastAsia="en-GB"/>
          <w14:ligatures w14:val="none"/>
        </w:rPr>
        <w:t>Meyerhofstrasse</w:t>
      </w:r>
      <w:proofErr w:type="spellEnd"/>
      <w:r w:rsidRPr="00B3061C">
        <w:rPr>
          <w:rFonts w:ascii="Arial" w:eastAsia="Arial" w:hAnsi="Arial" w:cs="Arial"/>
          <w:kern w:val="0"/>
          <w:lang w:val="en-GB" w:eastAsia="en-GB"/>
          <w14:ligatures w14:val="none"/>
        </w:rPr>
        <w:t xml:space="preserve"> 1, 69117, Heidelberg, Germany</w:t>
      </w:r>
    </w:p>
    <w:p w:rsidR="00B3061C" w:rsidRPr="00B3061C" w:rsidRDefault="00B3061C" w:rsidP="00B3061C">
      <w:pPr>
        <w:suppressLineNumbers/>
        <w:spacing w:after="280" w:line="480" w:lineRule="auto"/>
        <w:rPr>
          <w:rFonts w:ascii="Arial" w:eastAsia="Arial" w:hAnsi="Arial" w:cs="Arial"/>
          <w:kern w:val="0"/>
          <w:lang w:val="en-GB" w:eastAsia="en-GB"/>
          <w14:ligatures w14:val="none"/>
        </w:rPr>
      </w:pPr>
      <w:r w:rsidRPr="00B3061C">
        <w:rPr>
          <w:rFonts w:ascii="Arial" w:eastAsia="Arial" w:hAnsi="Arial" w:cs="Arial"/>
          <w:kern w:val="0"/>
          <w:vertAlign w:val="superscript"/>
          <w:lang w:val="en-GB" w:eastAsia="en-GB"/>
          <w14:ligatures w14:val="none"/>
        </w:rPr>
        <w:t>2</w:t>
      </w:r>
      <w:r w:rsidRPr="00B3061C">
        <w:rPr>
          <w:rFonts w:ascii="Arial" w:eastAsia="Arial" w:hAnsi="Arial" w:cs="Arial"/>
          <w:kern w:val="0"/>
          <w:lang w:val="en-GB" w:eastAsia="en-GB"/>
          <w14:ligatures w14:val="none"/>
        </w:rPr>
        <w:t>Collaboration for joint PhD degree between EMBL and Heidelberg University, Faculty of Biosciences, Germany</w:t>
      </w:r>
    </w:p>
    <w:p w:rsidR="00B3061C" w:rsidRPr="00B3061C" w:rsidRDefault="00B3061C" w:rsidP="00B3061C">
      <w:pPr>
        <w:suppressLineNumbers/>
        <w:spacing w:after="280" w:line="480" w:lineRule="auto"/>
        <w:rPr>
          <w:rFonts w:ascii="Arial" w:eastAsia="Arial" w:hAnsi="Arial" w:cs="Arial"/>
          <w:kern w:val="0"/>
          <w:lang w:val="en-GB" w:eastAsia="en-GB"/>
          <w14:ligatures w14:val="none"/>
        </w:rPr>
      </w:pPr>
      <w:r w:rsidRPr="00B3061C">
        <w:rPr>
          <w:rFonts w:ascii="Arial" w:eastAsia="Arial" w:hAnsi="Arial" w:cs="Arial"/>
          <w:kern w:val="0"/>
          <w:vertAlign w:val="superscript"/>
          <w:lang w:val="en-GB" w:eastAsia="en-GB"/>
          <w14:ligatures w14:val="none"/>
        </w:rPr>
        <w:t>*</w:t>
      </w:r>
      <w:r w:rsidRPr="00B3061C">
        <w:rPr>
          <w:rFonts w:ascii="Arial" w:eastAsia="Arial" w:hAnsi="Arial" w:cs="Arial"/>
          <w:kern w:val="0"/>
          <w:lang w:val="en-GB" w:eastAsia="en-GB"/>
          <w14:ligatures w14:val="none"/>
        </w:rPr>
        <w:t xml:space="preserve">To whom correspondence </w:t>
      </w:r>
      <w:proofErr w:type="gramStart"/>
      <w:r w:rsidRPr="00B3061C">
        <w:rPr>
          <w:rFonts w:ascii="Arial" w:eastAsia="Arial" w:hAnsi="Arial" w:cs="Arial"/>
          <w:kern w:val="0"/>
          <w:lang w:val="en-GB" w:eastAsia="en-GB"/>
          <w14:ligatures w14:val="none"/>
        </w:rPr>
        <w:t>should be addressed</w:t>
      </w:r>
      <w:proofErr w:type="gramEnd"/>
    </w:p>
    <w:p w:rsidR="00FA58AD" w:rsidRPr="00FA58AD" w:rsidRDefault="00FA58AD">
      <w:pPr>
        <w:rPr>
          <w:rFonts w:ascii="Arial" w:hAnsi="Arial" w:cs="Arial"/>
        </w:rPr>
      </w:pPr>
      <w:r w:rsidRPr="00FA58AD">
        <w:rPr>
          <w:rFonts w:ascii="Arial" w:hAnsi="Arial" w:cs="Arial"/>
        </w:rPr>
        <w:br w:type="page"/>
      </w:r>
    </w:p>
    <w:p w:rsidR="00FA58AD" w:rsidRPr="004966F4" w:rsidRDefault="00FA58AD" w:rsidP="00FA58AD">
      <w:pPr>
        <w:spacing w:line="480" w:lineRule="auto"/>
        <w:jc w:val="both"/>
        <w:rPr>
          <w:rFonts w:ascii="Arial" w:hAnsi="Arial" w:cs="Arial"/>
          <w:b/>
          <w:bCs/>
        </w:rPr>
      </w:pPr>
      <w:r w:rsidRPr="004966F4">
        <w:rPr>
          <w:rFonts w:ascii="Arial" w:hAnsi="Arial" w:cs="Arial"/>
          <w:b/>
          <w:bCs/>
        </w:rPr>
        <w:lastRenderedPageBreak/>
        <w:t>Supplemental figure 1:</w:t>
      </w:r>
    </w:p>
    <w:p w:rsidR="004966F4" w:rsidRPr="00FA58AD" w:rsidRDefault="004966F4" w:rsidP="00FA58AD">
      <w:pPr>
        <w:spacing w:line="480" w:lineRule="auto"/>
        <w:jc w:val="both"/>
        <w:rPr>
          <w:rFonts w:ascii="Arial" w:hAnsi="Arial" w:cs="Arial"/>
        </w:rPr>
      </w:pPr>
    </w:p>
    <w:p w:rsidR="00FA58AD" w:rsidRPr="00FA58AD" w:rsidRDefault="00FA58AD" w:rsidP="00FA58AD">
      <w:pPr>
        <w:keepNext/>
        <w:spacing w:line="480" w:lineRule="auto"/>
        <w:jc w:val="both"/>
        <w:rPr>
          <w:rFonts w:ascii="Arial" w:hAnsi="Arial" w:cs="Arial"/>
        </w:rPr>
      </w:pPr>
      <w:r w:rsidRPr="00FA58AD">
        <w:rPr>
          <w:rFonts w:ascii="Arial" w:hAnsi="Arial" w:cs="Arial"/>
          <w:noProof/>
        </w:rPr>
        <w:drawing>
          <wp:inline distT="0" distB="0" distL="0" distR="0" wp14:anchorId="4667F23F" wp14:editId="1CC53FF8">
            <wp:extent cx="4077974" cy="3763478"/>
            <wp:effectExtent l="0" t="0" r="0" b="0"/>
            <wp:docPr id="595745569" name="Picture 595745569"/>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4111278" cy="3794214"/>
                    </a:xfrm>
                    <a:prstGeom prst="rect">
                      <a:avLst/>
                    </a:prstGeom>
                    <a:ln/>
                  </pic:spPr>
                </pic:pic>
              </a:graphicData>
            </a:graphic>
          </wp:inline>
        </w:drawing>
      </w:r>
    </w:p>
    <w:p w:rsidR="00FA58AD" w:rsidRPr="009C328B" w:rsidRDefault="00FA58AD" w:rsidP="00FA58AD">
      <w:pPr>
        <w:spacing w:before="120" w:after="120" w:line="480" w:lineRule="auto"/>
        <w:jc w:val="both"/>
        <w:rPr>
          <w:rFonts w:ascii="Arial" w:hAnsi="Arial" w:cs="Arial"/>
          <w:iCs/>
          <w:sz w:val="18"/>
          <w:szCs w:val="18"/>
        </w:rPr>
      </w:pPr>
      <w:r w:rsidRPr="009C328B">
        <w:rPr>
          <w:rFonts w:ascii="Arial" w:hAnsi="Arial" w:cs="Arial"/>
          <w:iCs/>
          <w:sz w:val="18"/>
          <w:szCs w:val="18"/>
        </w:rPr>
        <w:t>Supplementary figure 1. RNA binding of MDH2 measured by PNK assay from lysates of cells treated with or without UV (254 nm, 150 mJ/cm</w:t>
      </w:r>
      <w:r w:rsidRPr="009C328B">
        <w:rPr>
          <w:rFonts w:ascii="Arial" w:hAnsi="Arial" w:cs="Arial"/>
          <w:iCs/>
          <w:sz w:val="18"/>
          <w:szCs w:val="18"/>
          <w:vertAlign w:val="superscript"/>
        </w:rPr>
        <w:t>2</w:t>
      </w:r>
      <w:r w:rsidRPr="009C328B">
        <w:rPr>
          <w:rFonts w:ascii="Arial" w:hAnsi="Arial" w:cs="Arial"/>
          <w:iCs/>
          <w:sz w:val="18"/>
          <w:szCs w:val="18"/>
        </w:rPr>
        <w:t xml:space="preserve"> energy) crosslinking. A specific signal for MDH2 was only observed in immunoprecipitations from UV-crosslinked lysates. Top panel shows the phosphor image to visualise end-labeled RNA co-purified with MDH2 and the bottom panel confirms equal IP efficiency. </w:t>
      </w:r>
    </w:p>
    <w:p w:rsidR="00FA58AD" w:rsidRDefault="00FA58AD" w:rsidP="00FA58AD">
      <w:pPr>
        <w:spacing w:line="480" w:lineRule="auto"/>
        <w:jc w:val="both"/>
      </w:pPr>
    </w:p>
    <w:p w:rsidR="00FA58AD" w:rsidRDefault="00FA58AD" w:rsidP="00FA58AD">
      <w:pPr>
        <w:spacing w:line="480" w:lineRule="auto"/>
        <w:jc w:val="both"/>
      </w:pPr>
    </w:p>
    <w:p w:rsidR="00FA58AD" w:rsidRDefault="00FA58AD" w:rsidP="00FA58AD">
      <w:pPr>
        <w:spacing w:line="480" w:lineRule="auto"/>
        <w:jc w:val="both"/>
      </w:pPr>
    </w:p>
    <w:p w:rsidR="00FA58AD" w:rsidRDefault="00FA58AD" w:rsidP="00FA58AD">
      <w:pPr>
        <w:spacing w:line="480" w:lineRule="auto"/>
        <w:jc w:val="both"/>
      </w:pPr>
    </w:p>
    <w:p w:rsidR="00FA58AD" w:rsidRDefault="00FA58AD" w:rsidP="00FA58AD">
      <w:pPr>
        <w:spacing w:line="480" w:lineRule="auto"/>
        <w:jc w:val="both"/>
      </w:pPr>
    </w:p>
    <w:p w:rsidR="00FA58AD" w:rsidRDefault="00FA58AD" w:rsidP="00FA58AD">
      <w:pPr>
        <w:spacing w:line="480" w:lineRule="auto"/>
        <w:jc w:val="both"/>
      </w:pPr>
    </w:p>
    <w:p w:rsidR="00FA58AD" w:rsidRDefault="00FA58AD" w:rsidP="00FA58AD">
      <w:pPr>
        <w:spacing w:line="480" w:lineRule="auto"/>
        <w:jc w:val="both"/>
      </w:pPr>
    </w:p>
    <w:p w:rsidR="00FA58AD" w:rsidRDefault="00FA58AD" w:rsidP="00FA58AD">
      <w:pPr>
        <w:spacing w:line="480" w:lineRule="auto"/>
        <w:jc w:val="both"/>
      </w:pPr>
    </w:p>
    <w:p w:rsidR="00FA58AD" w:rsidRPr="004966F4" w:rsidRDefault="00FA58AD" w:rsidP="00FA58AD">
      <w:pPr>
        <w:spacing w:line="480" w:lineRule="auto"/>
        <w:jc w:val="both"/>
        <w:rPr>
          <w:rFonts w:ascii="Arial" w:hAnsi="Arial" w:cs="Arial"/>
          <w:b/>
          <w:bCs/>
        </w:rPr>
      </w:pPr>
      <w:r w:rsidRPr="004966F4">
        <w:rPr>
          <w:rFonts w:ascii="Arial" w:hAnsi="Arial" w:cs="Arial"/>
          <w:b/>
          <w:bCs/>
        </w:rPr>
        <w:lastRenderedPageBreak/>
        <w:t>Supplementa</w:t>
      </w:r>
      <w:r w:rsidR="004966F4" w:rsidRPr="004966F4">
        <w:rPr>
          <w:rFonts w:ascii="Arial" w:hAnsi="Arial" w:cs="Arial"/>
          <w:b/>
          <w:bCs/>
        </w:rPr>
        <w:t>l</w:t>
      </w:r>
      <w:r w:rsidRPr="004966F4">
        <w:rPr>
          <w:rFonts w:ascii="Arial" w:hAnsi="Arial" w:cs="Arial"/>
          <w:b/>
          <w:bCs/>
        </w:rPr>
        <w:t xml:space="preserve"> figure 2:</w:t>
      </w:r>
    </w:p>
    <w:p w:rsidR="00FA58AD" w:rsidRPr="00FA58AD" w:rsidRDefault="00FA58AD" w:rsidP="00FA58AD">
      <w:pPr>
        <w:spacing w:line="480" w:lineRule="auto"/>
        <w:jc w:val="both"/>
        <w:rPr>
          <w:rFonts w:ascii="Arial" w:hAnsi="Arial" w:cs="Arial"/>
        </w:rPr>
      </w:pPr>
    </w:p>
    <w:p w:rsidR="00FA58AD" w:rsidRPr="00FA58AD" w:rsidRDefault="00FA58AD" w:rsidP="00FA58AD">
      <w:pPr>
        <w:keepNext/>
        <w:spacing w:line="480" w:lineRule="auto"/>
        <w:jc w:val="both"/>
        <w:rPr>
          <w:rFonts w:ascii="Arial" w:hAnsi="Arial" w:cs="Arial"/>
        </w:rPr>
      </w:pPr>
      <w:r w:rsidRPr="00FA58AD">
        <w:rPr>
          <w:rFonts w:ascii="Arial" w:hAnsi="Arial" w:cs="Arial"/>
          <w:noProof/>
        </w:rPr>
        <w:drawing>
          <wp:inline distT="0" distB="0" distL="0" distR="0" wp14:anchorId="1649DEC3" wp14:editId="2AF39CF5">
            <wp:extent cx="5187726" cy="6872438"/>
            <wp:effectExtent l="0" t="0" r="0" b="0"/>
            <wp:docPr id="1754812845" name="Picture 1754812845"/>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5193792" cy="6880475"/>
                    </a:xfrm>
                    <a:prstGeom prst="rect">
                      <a:avLst/>
                    </a:prstGeom>
                    <a:ln/>
                  </pic:spPr>
                </pic:pic>
              </a:graphicData>
            </a:graphic>
          </wp:inline>
        </w:drawing>
      </w:r>
    </w:p>
    <w:p w:rsidR="00FA58AD" w:rsidRPr="009C328B" w:rsidRDefault="00FA58AD" w:rsidP="00FA58AD">
      <w:pPr>
        <w:spacing w:before="120" w:after="120" w:line="480" w:lineRule="auto"/>
        <w:jc w:val="both"/>
        <w:rPr>
          <w:rFonts w:ascii="Arial" w:hAnsi="Arial" w:cs="Arial"/>
          <w:iCs/>
          <w:color w:val="FF0000"/>
          <w:sz w:val="18"/>
          <w:szCs w:val="18"/>
        </w:rPr>
      </w:pPr>
      <w:r w:rsidRPr="009C328B">
        <w:rPr>
          <w:rFonts w:ascii="Arial" w:hAnsi="Arial" w:cs="Arial"/>
          <w:iCs/>
          <w:sz w:val="18"/>
          <w:szCs w:val="18"/>
        </w:rPr>
        <w:t xml:space="preserve">Supplementary figure 2. (A) Bioanalyzer traces of the pooled replicates of MDH2 IP, SMI and IgG IP eCLIP libraries to analyse library size distribution. (B) PCA plot of eCLIP libraries to assess the variability between replicates and samples. </w:t>
      </w:r>
    </w:p>
    <w:p w:rsidR="00FA58AD" w:rsidRPr="00FA58AD" w:rsidRDefault="00FA58AD" w:rsidP="00FA58AD">
      <w:pPr>
        <w:spacing w:before="120" w:after="120" w:line="480" w:lineRule="auto"/>
        <w:jc w:val="both"/>
        <w:rPr>
          <w:rFonts w:ascii="Arial" w:hAnsi="Arial" w:cs="Arial"/>
          <w:i/>
          <w:sz w:val="18"/>
          <w:szCs w:val="18"/>
        </w:rPr>
      </w:pPr>
    </w:p>
    <w:p w:rsidR="0063348E" w:rsidRPr="004966F4" w:rsidRDefault="0063348E" w:rsidP="0063348E">
      <w:pPr>
        <w:spacing w:line="480" w:lineRule="auto"/>
        <w:jc w:val="both"/>
        <w:rPr>
          <w:rFonts w:ascii="Arial" w:hAnsi="Arial" w:cs="Arial"/>
          <w:b/>
          <w:bCs/>
        </w:rPr>
      </w:pPr>
      <w:r w:rsidRPr="004966F4">
        <w:rPr>
          <w:rFonts w:ascii="Arial" w:hAnsi="Arial" w:cs="Arial"/>
          <w:b/>
          <w:bCs/>
        </w:rPr>
        <w:lastRenderedPageBreak/>
        <w:t>Supplementa</w:t>
      </w:r>
      <w:r w:rsidR="004966F4" w:rsidRPr="004966F4">
        <w:rPr>
          <w:rFonts w:ascii="Arial" w:hAnsi="Arial" w:cs="Arial"/>
          <w:b/>
          <w:bCs/>
        </w:rPr>
        <w:t>l</w:t>
      </w:r>
      <w:r w:rsidRPr="004966F4">
        <w:rPr>
          <w:rFonts w:ascii="Arial" w:hAnsi="Arial" w:cs="Arial"/>
          <w:b/>
          <w:bCs/>
        </w:rPr>
        <w:t xml:space="preserve"> figure 3:</w:t>
      </w:r>
    </w:p>
    <w:p w:rsidR="0063348E" w:rsidRPr="0063348E" w:rsidRDefault="0063348E" w:rsidP="0063348E">
      <w:pPr>
        <w:spacing w:line="480" w:lineRule="auto"/>
        <w:jc w:val="both"/>
        <w:rPr>
          <w:rFonts w:ascii="Arial" w:hAnsi="Arial" w:cs="Arial"/>
          <w:b/>
          <w:u w:val="single"/>
        </w:rPr>
      </w:pPr>
    </w:p>
    <w:p w:rsidR="0063348E" w:rsidRPr="0063348E" w:rsidRDefault="0063348E" w:rsidP="0063348E">
      <w:pPr>
        <w:keepNext/>
        <w:spacing w:line="480" w:lineRule="auto"/>
        <w:jc w:val="both"/>
        <w:rPr>
          <w:rFonts w:ascii="Arial" w:hAnsi="Arial" w:cs="Arial"/>
        </w:rPr>
      </w:pPr>
      <w:r w:rsidRPr="0063348E">
        <w:rPr>
          <w:rFonts w:ascii="Arial" w:hAnsi="Arial" w:cs="Arial"/>
          <w:noProof/>
        </w:rPr>
        <w:drawing>
          <wp:inline distT="0" distB="0" distL="0" distR="0" wp14:anchorId="0E904383" wp14:editId="4F7AACD0">
            <wp:extent cx="5566679" cy="6518495"/>
            <wp:effectExtent l="0" t="0" r="0" b="0"/>
            <wp:docPr id="272344073" name="Picture 272344073"/>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568264" cy="6520351"/>
                    </a:xfrm>
                    <a:prstGeom prst="rect">
                      <a:avLst/>
                    </a:prstGeom>
                    <a:ln/>
                  </pic:spPr>
                </pic:pic>
              </a:graphicData>
            </a:graphic>
          </wp:inline>
        </w:drawing>
      </w:r>
    </w:p>
    <w:p w:rsidR="0063348E" w:rsidRPr="009C328B" w:rsidRDefault="0063348E" w:rsidP="0063348E">
      <w:pPr>
        <w:spacing w:line="480" w:lineRule="auto"/>
        <w:jc w:val="both"/>
        <w:rPr>
          <w:rFonts w:ascii="Arial" w:hAnsi="Arial" w:cs="Arial"/>
          <w:b/>
          <w:iCs/>
          <w:sz w:val="18"/>
          <w:szCs w:val="18"/>
          <w:u w:val="single"/>
        </w:rPr>
      </w:pPr>
      <w:r w:rsidRPr="009C328B">
        <w:rPr>
          <w:rFonts w:ascii="Arial" w:hAnsi="Arial" w:cs="Arial"/>
          <w:iCs/>
          <w:sz w:val="18"/>
          <w:szCs w:val="18"/>
        </w:rPr>
        <w:t>Supplementary figure 3. Protein purification for EMSA. (A) Schematic of constructs used for protein purification. (B) Purification of the FL-MDH2 (Full-length MDH2) construct. Arrows mark the bands at the expected molecular mass of FL-MDH2 (monomer and potential dimer). The prominent bands just below the arrows could be bacterial MDH. Mass spectrometry analysis confirms that bacterial MDH was copurified with human FL-MDH2. (C) Western blot analysis of purified MDH2. (D) Purification of eGFP.</w:t>
      </w:r>
    </w:p>
    <w:p w:rsidR="00090D14" w:rsidRPr="004966F4" w:rsidRDefault="00090D14" w:rsidP="00090D14">
      <w:pPr>
        <w:spacing w:line="480" w:lineRule="auto"/>
        <w:jc w:val="both"/>
        <w:rPr>
          <w:rFonts w:ascii="Arial" w:hAnsi="Arial" w:cs="Arial"/>
          <w:b/>
          <w:bCs/>
        </w:rPr>
      </w:pPr>
      <w:r w:rsidRPr="004966F4">
        <w:rPr>
          <w:rFonts w:ascii="Arial" w:hAnsi="Arial" w:cs="Arial"/>
          <w:b/>
          <w:bCs/>
        </w:rPr>
        <w:lastRenderedPageBreak/>
        <w:t>Supplementa</w:t>
      </w:r>
      <w:r w:rsidR="004966F4" w:rsidRPr="004966F4">
        <w:rPr>
          <w:rFonts w:ascii="Arial" w:hAnsi="Arial" w:cs="Arial"/>
          <w:b/>
          <w:bCs/>
        </w:rPr>
        <w:t>l</w:t>
      </w:r>
      <w:r w:rsidRPr="004966F4">
        <w:rPr>
          <w:rFonts w:ascii="Arial" w:hAnsi="Arial" w:cs="Arial"/>
          <w:b/>
          <w:bCs/>
        </w:rPr>
        <w:t xml:space="preserve"> figure 4:</w:t>
      </w:r>
    </w:p>
    <w:p w:rsidR="00090D14" w:rsidRPr="00090D14" w:rsidRDefault="00090D14" w:rsidP="00090D14">
      <w:pPr>
        <w:keepNext/>
        <w:spacing w:line="480" w:lineRule="auto"/>
        <w:jc w:val="both"/>
        <w:rPr>
          <w:rFonts w:ascii="Arial" w:hAnsi="Arial" w:cs="Arial"/>
        </w:rPr>
      </w:pPr>
      <w:r w:rsidRPr="00090D14">
        <w:rPr>
          <w:rFonts w:ascii="Arial" w:hAnsi="Arial" w:cs="Arial"/>
          <w:noProof/>
        </w:rPr>
        <w:drawing>
          <wp:inline distT="0" distB="0" distL="0" distR="0" wp14:anchorId="5DEC9465" wp14:editId="5805DC67">
            <wp:extent cx="5439177" cy="5566410"/>
            <wp:effectExtent l="0" t="0" r="0" b="0"/>
            <wp:docPr id="39813985" name="Picture 39813985"/>
            <wp:cNvGraphicFramePr/>
            <a:graphic xmlns:a="http://schemas.openxmlformats.org/drawingml/2006/main">
              <a:graphicData uri="http://schemas.openxmlformats.org/drawingml/2006/picture">
                <pic:pic xmlns:pic="http://schemas.openxmlformats.org/drawingml/2006/picture">
                  <pic:nvPicPr>
                    <pic:cNvPr id="6" name="image9.png"/>
                    <pic:cNvPicPr preferRelativeResize="0"/>
                  </pic:nvPicPr>
                  <pic:blipFill>
                    <a:blip r:embed="rId7" cstate="print">
                      <a:extLst>
                        <a:ext uri="{28A0092B-C50C-407E-A947-70E740481C1C}">
                          <a14:useLocalDpi xmlns:a14="http://schemas.microsoft.com/office/drawing/2010/main" val="0"/>
                        </a:ext>
                      </a:extLst>
                    </a:blip>
                    <a:srcRect t="300" b="300"/>
                    <a:stretch>
                      <a:fillRect/>
                    </a:stretch>
                  </pic:blipFill>
                  <pic:spPr>
                    <a:xfrm>
                      <a:off x="0" y="0"/>
                      <a:ext cx="5439177" cy="5566410"/>
                    </a:xfrm>
                    <a:prstGeom prst="rect">
                      <a:avLst/>
                    </a:prstGeom>
                    <a:ln/>
                  </pic:spPr>
                </pic:pic>
              </a:graphicData>
            </a:graphic>
          </wp:inline>
        </w:drawing>
      </w:r>
    </w:p>
    <w:p w:rsidR="00090D14" w:rsidRPr="009C328B" w:rsidRDefault="00090D14" w:rsidP="00090D14">
      <w:pPr>
        <w:spacing w:before="120" w:after="120" w:line="480" w:lineRule="auto"/>
        <w:jc w:val="both"/>
        <w:rPr>
          <w:rFonts w:ascii="Arial" w:hAnsi="Arial" w:cs="Arial"/>
          <w:iCs/>
          <w:sz w:val="18"/>
          <w:szCs w:val="18"/>
        </w:rPr>
      </w:pPr>
      <w:r w:rsidRPr="009C328B">
        <w:rPr>
          <w:rFonts w:ascii="Arial" w:hAnsi="Arial" w:cs="Arial"/>
          <w:iCs/>
          <w:sz w:val="18"/>
          <w:szCs w:val="18"/>
        </w:rPr>
        <w:t xml:space="preserve">Supplementary figure 4. Canonical MTS is dispensable for RNA binding. (A) Schematic of the wt-MDH2 construct and MDH2 Δ2-24 construct (B) PNK assay comparing levels of RNA bound by wt-MDH2 and MDH2 Δ2-24 (C) Quantification of immunoprecipitated protein amounts and PNK signal. Data reported as mean ± S.D, number of experiments, n=3, p value reported as the results of an unpaired two-tailed t-test for the protein levels and of an ordinary one-way ANOVA with Tukey’s multiple comparison test correction for PNK signals. (D) Confocal immunofluorescence images showing staining of wt-MDH2 and MDH2 Δ2-24 (using FLAG tag) and an outer mitochondrial membrane marker, Tom70. Images are maximum intensity projections of Z- stack images. </w:t>
      </w:r>
    </w:p>
    <w:p w:rsidR="0063348E" w:rsidRDefault="0063348E" w:rsidP="0063348E">
      <w:pPr>
        <w:spacing w:line="480" w:lineRule="auto"/>
        <w:jc w:val="both"/>
        <w:rPr>
          <w:b/>
          <w:u w:val="single"/>
        </w:rPr>
      </w:pPr>
    </w:p>
    <w:p w:rsidR="005E3111" w:rsidRPr="00FA58AD" w:rsidRDefault="005E3111">
      <w:pPr>
        <w:rPr>
          <w:rFonts w:ascii="Arial" w:hAnsi="Arial" w:cs="Arial"/>
        </w:rPr>
      </w:pPr>
    </w:p>
    <w:sectPr w:rsidR="005E3111" w:rsidRPr="00FA58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111"/>
    <w:rsid w:val="00010387"/>
    <w:rsid w:val="00050F74"/>
    <w:rsid w:val="00065F51"/>
    <w:rsid w:val="00090D14"/>
    <w:rsid w:val="00196827"/>
    <w:rsid w:val="00222755"/>
    <w:rsid w:val="00261A71"/>
    <w:rsid w:val="00275830"/>
    <w:rsid w:val="002D2AD4"/>
    <w:rsid w:val="00313A30"/>
    <w:rsid w:val="00324F2A"/>
    <w:rsid w:val="003950AA"/>
    <w:rsid w:val="003A1DA3"/>
    <w:rsid w:val="003A202A"/>
    <w:rsid w:val="003A56C3"/>
    <w:rsid w:val="003F710C"/>
    <w:rsid w:val="0047255C"/>
    <w:rsid w:val="004966F4"/>
    <w:rsid w:val="00501567"/>
    <w:rsid w:val="005447ED"/>
    <w:rsid w:val="005D67F2"/>
    <w:rsid w:val="005E3111"/>
    <w:rsid w:val="0063348E"/>
    <w:rsid w:val="0064209D"/>
    <w:rsid w:val="006A0E3D"/>
    <w:rsid w:val="006E22E1"/>
    <w:rsid w:val="00784D6F"/>
    <w:rsid w:val="00793B52"/>
    <w:rsid w:val="007E7D27"/>
    <w:rsid w:val="00876090"/>
    <w:rsid w:val="008C4886"/>
    <w:rsid w:val="00971EB6"/>
    <w:rsid w:val="00977777"/>
    <w:rsid w:val="009C328B"/>
    <w:rsid w:val="00A96AB8"/>
    <w:rsid w:val="00AB5008"/>
    <w:rsid w:val="00AD56FE"/>
    <w:rsid w:val="00AE0E80"/>
    <w:rsid w:val="00AF508C"/>
    <w:rsid w:val="00AF740A"/>
    <w:rsid w:val="00B3061C"/>
    <w:rsid w:val="00B56739"/>
    <w:rsid w:val="00B71917"/>
    <w:rsid w:val="00BC5131"/>
    <w:rsid w:val="00BD5D2B"/>
    <w:rsid w:val="00BE2C2D"/>
    <w:rsid w:val="00C51C93"/>
    <w:rsid w:val="00C74539"/>
    <w:rsid w:val="00D01BAE"/>
    <w:rsid w:val="00DE1D3F"/>
    <w:rsid w:val="00E957C2"/>
    <w:rsid w:val="00F8077A"/>
    <w:rsid w:val="00F82922"/>
    <w:rsid w:val="00FA1A3F"/>
    <w:rsid w:val="00FA58AD"/>
    <w:rsid w:val="00FE4B8A"/>
    <w:rsid w:val="00FF126F"/>
    <w:rsid w:val="00FF5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6A3651-DC7E-7B4B-BA6C-BD6447214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3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311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12167">
      <w:bodyDiv w:val="1"/>
      <w:marLeft w:val="0"/>
      <w:marRight w:val="0"/>
      <w:marTop w:val="0"/>
      <w:marBottom w:val="0"/>
      <w:divBdr>
        <w:top w:val="none" w:sz="0" w:space="0" w:color="auto"/>
        <w:left w:val="none" w:sz="0" w:space="0" w:color="auto"/>
        <w:bottom w:val="none" w:sz="0" w:space="0" w:color="auto"/>
        <w:right w:val="none" w:sz="0" w:space="0" w:color="auto"/>
      </w:divBdr>
    </w:div>
    <w:div w:id="751926360">
      <w:bodyDiv w:val="1"/>
      <w:marLeft w:val="0"/>
      <w:marRight w:val="0"/>
      <w:marTop w:val="0"/>
      <w:marBottom w:val="0"/>
      <w:divBdr>
        <w:top w:val="none" w:sz="0" w:space="0" w:color="auto"/>
        <w:left w:val="none" w:sz="0" w:space="0" w:color="auto"/>
        <w:bottom w:val="none" w:sz="0" w:space="0" w:color="auto"/>
        <w:right w:val="none" w:sz="0" w:space="0" w:color="auto"/>
      </w:divBdr>
    </w:div>
    <w:div w:id="131644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Noble</dc:creator>
  <cp:keywords/>
  <dc:description/>
  <cp:lastModifiedBy>cgondran</cp:lastModifiedBy>
  <cp:revision>12</cp:revision>
  <dcterms:created xsi:type="dcterms:W3CDTF">2023-11-21T16:07:00Z</dcterms:created>
  <dcterms:modified xsi:type="dcterms:W3CDTF">2024-03-04T20:02:00Z</dcterms:modified>
</cp:coreProperties>
</file>