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BA3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Figure Legends</w:t>
      </w:r>
    </w:p>
    <w:p w:rsidR="008A5BA3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A5BA3" w:rsidRPr="00557613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557613">
        <w:rPr>
          <w:rFonts w:ascii="Arial" w:hAnsi="Arial" w:cs="Arial"/>
          <w:b/>
          <w:bCs/>
          <w:sz w:val="22"/>
          <w:szCs w:val="22"/>
        </w:rPr>
        <w:t>Figure S1. LARP4 interacts with nuclear-encoded mitochondrial mRNAs. Related to Figure 1.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(A)</w:t>
      </w:r>
      <w:r w:rsidRPr="00C47E4B">
        <w:rPr>
          <w:rFonts w:ascii="Arial" w:hAnsi="Arial" w:cs="Arial"/>
          <w:sz w:val="22"/>
          <w:szCs w:val="22"/>
        </w:rPr>
        <w:t xml:space="preserve"> Venn diagram showing the overlap between gene-target lists of each of the three LARP4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datasets from HEK293, HepG2, K562 cells.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(B)</w:t>
      </w:r>
      <w:r w:rsidRPr="00C47E4B">
        <w:rPr>
          <w:rFonts w:ascii="Arial" w:hAnsi="Arial" w:cs="Arial"/>
          <w:sz w:val="22"/>
          <w:szCs w:val="22"/>
        </w:rPr>
        <w:t xml:space="preserve"> Venn diagram showing the overlap between gene-targets that are also mitochondrial genes.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(C)</w:t>
      </w:r>
      <w:r w:rsidRPr="00C47E4B">
        <w:rPr>
          <w:rFonts w:ascii="Arial" w:hAnsi="Arial" w:cs="Arial"/>
          <w:sz w:val="22"/>
          <w:szCs w:val="22"/>
        </w:rPr>
        <w:t xml:space="preserve"> Venn diagram showing the overlap HEK293’s LARP4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gene-target list with oxidative phosphorylation genes (HSA_00190).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(D)</w:t>
      </w:r>
      <w:r w:rsidRPr="00C47E4B">
        <w:rPr>
          <w:rFonts w:ascii="Arial" w:hAnsi="Arial" w:cs="Arial"/>
          <w:sz w:val="22"/>
          <w:szCs w:val="22"/>
        </w:rPr>
        <w:t xml:space="preserve"> Venn diagram showing the overlap HEK293’s LARP4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gene-target list with mitochondrial ribosome proteins (GO:0005761)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(E)</w:t>
      </w:r>
      <w:r w:rsidRPr="00C47E4B">
        <w:rPr>
          <w:rFonts w:ascii="Arial" w:hAnsi="Arial" w:cs="Arial"/>
          <w:sz w:val="22"/>
          <w:szCs w:val="22"/>
        </w:rPr>
        <w:t xml:space="preserve"> Enrichment analysis for RNA-target set (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data) overlapping with proteins in the Translation pathway (R_HSA_72766). Only RBPs with significant overlap (p-value</w:t>
      </w:r>
      <w:r w:rsidRPr="00C47E4B">
        <w:rPr>
          <w:rFonts w:ascii="Arial" w:eastAsia="Symbol" w:hAnsi="Arial" w:cs="Arial"/>
          <w:sz w:val="22"/>
          <w:szCs w:val="22"/>
        </w:rPr>
        <w:sym w:font="Symbol" w:char="F0A3"/>
      </w:r>
      <w:r w:rsidRPr="00C47E4B">
        <w:rPr>
          <w:rFonts w:ascii="Arial" w:hAnsi="Arial" w:cs="Arial"/>
          <w:sz w:val="22"/>
          <w:szCs w:val="22"/>
        </w:rPr>
        <w:t>0.05</w:t>
      </w:r>
      <w:r>
        <w:rPr>
          <w:rFonts w:ascii="Arial" w:hAnsi="Arial" w:cs="Arial"/>
          <w:sz w:val="22"/>
          <w:szCs w:val="22"/>
        </w:rPr>
        <w:t xml:space="preserve">, </w:t>
      </w:r>
      <w:r w:rsidRPr="003C637D">
        <w:rPr>
          <w:rFonts w:ascii="Arial" w:hAnsi="Arial" w:cs="Arial"/>
          <w:sz w:val="22"/>
          <w:szCs w:val="22"/>
        </w:rPr>
        <w:t>hypergeometric test</w:t>
      </w:r>
      <w:r w:rsidRPr="00C47E4B">
        <w:rPr>
          <w:rFonts w:ascii="Arial" w:hAnsi="Arial" w:cs="Arial"/>
          <w:sz w:val="22"/>
          <w:szCs w:val="22"/>
        </w:rPr>
        <w:t>) are shown.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(F)</w:t>
      </w:r>
      <w:r w:rsidRPr="00C47E4B">
        <w:rPr>
          <w:rFonts w:ascii="Arial" w:hAnsi="Arial" w:cs="Arial"/>
          <w:sz w:val="22"/>
          <w:szCs w:val="22"/>
        </w:rPr>
        <w:t xml:space="preserve"> Enrichment analysis for RNA-target set (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data) overlapping with mitochondrial ribosome proteins (MRP-S/L) defined by gene ontology term GO_0005761. Only RBPs with significant overlap (p-value</w:t>
      </w:r>
      <w:r w:rsidRPr="00C47E4B">
        <w:rPr>
          <w:rFonts w:ascii="Arial" w:eastAsia="Symbol" w:hAnsi="Arial" w:cs="Arial"/>
          <w:sz w:val="22"/>
          <w:szCs w:val="22"/>
        </w:rPr>
        <w:sym w:font="Symbol" w:char="F0A3"/>
      </w:r>
      <w:r w:rsidRPr="00C47E4B">
        <w:rPr>
          <w:rFonts w:ascii="Arial" w:hAnsi="Arial" w:cs="Arial"/>
          <w:sz w:val="22"/>
          <w:szCs w:val="22"/>
        </w:rPr>
        <w:t>0.05</w:t>
      </w:r>
      <w:r>
        <w:rPr>
          <w:rFonts w:ascii="Arial" w:hAnsi="Arial" w:cs="Arial"/>
          <w:sz w:val="22"/>
          <w:szCs w:val="22"/>
        </w:rPr>
        <w:t xml:space="preserve">, </w:t>
      </w:r>
      <w:r w:rsidRPr="003C637D">
        <w:rPr>
          <w:rFonts w:ascii="Arial" w:hAnsi="Arial" w:cs="Arial"/>
          <w:sz w:val="22"/>
          <w:szCs w:val="22"/>
        </w:rPr>
        <w:t>hypergeometric test</w:t>
      </w:r>
      <w:r w:rsidRPr="00C47E4B">
        <w:rPr>
          <w:rFonts w:ascii="Arial" w:hAnsi="Arial" w:cs="Arial"/>
          <w:sz w:val="22"/>
          <w:szCs w:val="22"/>
        </w:rPr>
        <w:t>) are shown.</w:t>
      </w:r>
    </w:p>
    <w:p w:rsidR="008A5BA3" w:rsidRPr="00C47E4B" w:rsidRDefault="008A5BA3" w:rsidP="008A5BA3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sz w:val="22"/>
          <w:szCs w:val="22"/>
        </w:rPr>
        <w:t>(</w:t>
      </w:r>
      <w:r w:rsidRPr="00C47E4B">
        <w:rPr>
          <w:rFonts w:ascii="Arial" w:hAnsi="Arial" w:cs="Arial"/>
          <w:b/>
          <w:bCs/>
          <w:sz w:val="22"/>
          <w:szCs w:val="22"/>
        </w:rPr>
        <w:t>G)</w:t>
      </w:r>
      <w:r w:rsidRPr="00C47E4B">
        <w:rPr>
          <w:rFonts w:ascii="Arial" w:hAnsi="Arial" w:cs="Arial"/>
          <w:sz w:val="22"/>
          <w:szCs w:val="22"/>
        </w:rPr>
        <w:t xml:space="preserve"> Metagene analysis of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 from HEK293 cells, HepG2 cells and K562 cells. Peak density is plotted across all genes (black), nuclear-encoded mitochondrial genes (green), OXPHOS genes (red) and mitochondrial ribosome genes (blue).</w:t>
      </w:r>
    </w:p>
    <w:p w:rsidR="008A5BA3" w:rsidRPr="00C47E4B" w:rsidRDefault="008A5BA3" w:rsidP="008A5BA3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(H)</w:t>
      </w:r>
      <w:r w:rsidRPr="00C47E4B">
        <w:rPr>
          <w:rFonts w:ascii="Arial" w:hAnsi="Arial" w:cs="Arial"/>
          <w:sz w:val="22"/>
          <w:szCs w:val="22"/>
        </w:rPr>
        <w:t xml:space="preserve"> Motif analysis of the HEK293 LARP4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dataset.</w:t>
      </w:r>
      <w:r>
        <w:rPr>
          <w:rFonts w:ascii="Arial" w:hAnsi="Arial" w:cs="Arial"/>
          <w:sz w:val="22"/>
          <w:szCs w:val="22"/>
        </w:rPr>
        <w:t xml:space="preserve"> p-values calculated by hypergeometric test.</w:t>
      </w:r>
    </w:p>
    <w:p w:rsidR="00142123" w:rsidRDefault="008A5BA3" w:rsidP="008A5BA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eCLIP</w:t>
      </w:r>
      <w:proofErr w:type="spellEnd"/>
      <w:r>
        <w:rPr>
          <w:rFonts w:ascii="Arial" w:hAnsi="Arial" w:cs="Arial"/>
          <w:sz w:val="22"/>
          <w:szCs w:val="22"/>
        </w:rPr>
        <w:t xml:space="preserve"> experiments were performed in independent biological duplicates for each cell line (N=2). </w:t>
      </w:r>
      <w:r w:rsidRPr="00C47E4B">
        <w:rPr>
          <w:rFonts w:ascii="Arial" w:hAnsi="Arial" w:cs="Arial"/>
          <w:sz w:val="22"/>
          <w:szCs w:val="22"/>
        </w:rPr>
        <w:t xml:space="preserve">Gene-target lists of each </w:t>
      </w:r>
      <w:proofErr w:type="spellStart"/>
      <w:r w:rsidRPr="00C47E4B">
        <w:rPr>
          <w:rFonts w:ascii="Arial" w:hAnsi="Arial" w:cs="Arial"/>
          <w:sz w:val="22"/>
          <w:szCs w:val="22"/>
        </w:rPr>
        <w:t>eCLIP</w:t>
      </w:r>
      <w:proofErr w:type="spellEnd"/>
      <w:r w:rsidRPr="00C47E4B">
        <w:rPr>
          <w:rFonts w:ascii="Arial" w:hAnsi="Arial" w:cs="Arial"/>
          <w:sz w:val="22"/>
          <w:szCs w:val="22"/>
        </w:rPr>
        <w:t xml:space="preserve"> data set are defined as genes encoding an mRNA containing at least one peak that passes significance thresholds (-log</w:t>
      </w:r>
      <w:r w:rsidRPr="00C47E4B">
        <w:rPr>
          <w:rFonts w:ascii="Arial" w:hAnsi="Arial" w:cs="Arial"/>
          <w:sz w:val="22"/>
          <w:szCs w:val="22"/>
          <w:vertAlign w:val="subscript"/>
        </w:rPr>
        <w:t>10</w:t>
      </w:r>
      <w:r w:rsidRPr="00C47E4B">
        <w:rPr>
          <w:rFonts w:ascii="Arial" w:hAnsi="Arial" w:cs="Arial"/>
          <w:sz w:val="22"/>
          <w:szCs w:val="22"/>
        </w:rPr>
        <w:t>(p-value)</w:t>
      </w:r>
      <w:r>
        <w:rPr>
          <w:rFonts w:ascii="Arial" w:hAnsi="Arial" w:cs="Arial"/>
          <w:sz w:val="22"/>
          <w:szCs w:val="22"/>
        </w:rPr>
        <w:t xml:space="preserve"> </w:t>
      </w:r>
      <w:r w:rsidRPr="00C47E4B">
        <w:rPr>
          <w:rFonts w:ascii="Arial" w:hAnsi="Arial" w:cs="Arial"/>
          <w:sz w:val="22"/>
          <w:szCs w:val="22"/>
        </w:rPr>
        <w:sym w:font="Symbol" w:char="F0B3"/>
      </w:r>
      <w:r>
        <w:rPr>
          <w:rFonts w:ascii="Arial" w:hAnsi="Arial" w:cs="Arial"/>
          <w:sz w:val="22"/>
          <w:szCs w:val="22"/>
        </w:rPr>
        <w:t xml:space="preserve"> </w:t>
      </w:r>
      <w:r w:rsidRPr="00C47E4B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Fisher’s exact test; </w:t>
      </w:r>
      <w:r w:rsidRPr="00C47E4B">
        <w:rPr>
          <w:rFonts w:ascii="Arial" w:hAnsi="Arial" w:cs="Arial"/>
          <w:sz w:val="22"/>
          <w:szCs w:val="22"/>
        </w:rPr>
        <w:t>log</w:t>
      </w:r>
      <w:r w:rsidRPr="00C47E4B">
        <w:rPr>
          <w:rFonts w:ascii="Arial" w:hAnsi="Arial" w:cs="Arial"/>
          <w:sz w:val="22"/>
          <w:szCs w:val="22"/>
          <w:vertAlign w:val="subscript"/>
        </w:rPr>
        <w:t>2</w:t>
      </w:r>
      <w:r w:rsidRPr="00C47E4B">
        <w:rPr>
          <w:rFonts w:ascii="Arial" w:hAnsi="Arial" w:cs="Arial"/>
          <w:sz w:val="22"/>
          <w:szCs w:val="22"/>
        </w:rPr>
        <w:t xml:space="preserve">(fold-change (IP/input)) </w:t>
      </w:r>
      <w:r w:rsidRPr="00C47E4B">
        <w:rPr>
          <w:rFonts w:ascii="Arial" w:hAnsi="Arial" w:cs="Arial"/>
          <w:sz w:val="22"/>
          <w:szCs w:val="22"/>
        </w:rPr>
        <w:sym w:font="Symbol" w:char="F0B3"/>
      </w:r>
      <w:r w:rsidRPr="00C47E4B">
        <w:rPr>
          <w:rFonts w:ascii="Arial" w:hAnsi="Arial" w:cs="Arial"/>
          <w:sz w:val="22"/>
          <w:szCs w:val="22"/>
        </w:rPr>
        <w:t xml:space="preserve"> 4).</w:t>
      </w:r>
    </w:p>
    <w:p w:rsidR="008A5BA3" w:rsidRDefault="008A5BA3" w:rsidP="008A5BA3">
      <w:pPr>
        <w:rPr>
          <w:rFonts w:ascii="Arial" w:hAnsi="Arial" w:cs="Arial"/>
          <w:sz w:val="22"/>
          <w:szCs w:val="22"/>
        </w:rPr>
      </w:pPr>
    </w:p>
    <w:p w:rsidR="008A5BA3" w:rsidRPr="003C637D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3C637D">
        <w:rPr>
          <w:rFonts w:ascii="Arial" w:hAnsi="Arial" w:cs="Arial"/>
          <w:b/>
          <w:bCs/>
          <w:sz w:val="22"/>
          <w:szCs w:val="22"/>
        </w:rPr>
        <w:t>Figure S2. Analysis of mRNA abundance and CRISPR cut site analysis. Related to Figure 2.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(A)</w:t>
      </w:r>
      <w:r w:rsidRPr="00C47E4B">
        <w:rPr>
          <w:rFonts w:ascii="Arial" w:hAnsi="Arial" w:cs="Arial"/>
          <w:sz w:val="22"/>
          <w:szCs w:val="22"/>
        </w:rPr>
        <w:t xml:space="preserve"> CRISPR cut site genomic analysis of the two LARP4 KO subclones by Sanger sequencing. For each of the two KO subclones (HEK293-LAPR4-KO-sc1 and U2OS-LAPR4-KO-sc37) unique edited sequences were identified for each of the three alleles that are present at the LARP4 genomic site due </w:t>
      </w:r>
      <w:r>
        <w:rPr>
          <w:rFonts w:ascii="Arial" w:hAnsi="Arial" w:cs="Arial"/>
          <w:sz w:val="22"/>
          <w:szCs w:val="22"/>
        </w:rPr>
        <w:t>to</w:t>
      </w:r>
      <w:r w:rsidRPr="00C47E4B">
        <w:rPr>
          <w:rFonts w:ascii="Arial" w:hAnsi="Arial" w:cs="Arial"/>
          <w:sz w:val="22"/>
          <w:szCs w:val="22"/>
        </w:rPr>
        <w:t xml:space="preserve"> aneuploidy in these cell lines. Each edited allele is aligned to the wild type sequence with insertions shown in blue, deletions indicated with a dash and the CRISPR guide RNA target site </w:t>
      </w:r>
      <w:r>
        <w:rPr>
          <w:rFonts w:ascii="Arial" w:hAnsi="Arial" w:cs="Arial"/>
          <w:sz w:val="22"/>
          <w:szCs w:val="22"/>
        </w:rPr>
        <w:t>shown</w:t>
      </w:r>
      <w:r w:rsidRPr="00C47E4B">
        <w:rPr>
          <w:rFonts w:ascii="Arial" w:hAnsi="Arial" w:cs="Arial"/>
          <w:sz w:val="22"/>
          <w:szCs w:val="22"/>
        </w:rPr>
        <w:t xml:space="preserve"> in red.</w:t>
      </w:r>
      <w:r w:rsidRPr="00C47E4B" w:rsidDel="001E2F0B">
        <w:rPr>
          <w:rFonts w:ascii="Arial" w:hAnsi="Arial" w:cs="Arial"/>
          <w:sz w:val="22"/>
          <w:szCs w:val="22"/>
        </w:rPr>
        <w:t xml:space="preserve"> 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Pr="00C47E4B">
        <w:rPr>
          <w:rFonts w:ascii="Arial" w:hAnsi="Arial" w:cs="Arial"/>
          <w:b/>
          <w:bCs/>
          <w:sz w:val="22"/>
          <w:szCs w:val="22"/>
        </w:rPr>
        <w:t>B,C</w:t>
      </w:r>
      <w:proofErr w:type="gramEnd"/>
      <w:r w:rsidRPr="00C47E4B">
        <w:rPr>
          <w:rFonts w:ascii="Arial" w:hAnsi="Arial" w:cs="Arial"/>
          <w:b/>
          <w:bCs/>
          <w:sz w:val="22"/>
          <w:szCs w:val="22"/>
        </w:rPr>
        <w:t>)</w:t>
      </w:r>
      <w:r w:rsidRPr="00C47E4B">
        <w:rPr>
          <w:rFonts w:ascii="Arial" w:hAnsi="Arial" w:cs="Arial"/>
          <w:sz w:val="22"/>
          <w:szCs w:val="22"/>
        </w:rPr>
        <w:t xml:space="preserve"> Immunoblot analysis of HEK293 cells expressing either an shRNA targeting LARP4 (LARP4-shKD) or a non-targeting shRNA (NT-</w:t>
      </w:r>
      <w:proofErr w:type="spellStart"/>
      <w:r w:rsidRPr="00C47E4B">
        <w:rPr>
          <w:rFonts w:ascii="Arial" w:hAnsi="Arial" w:cs="Arial"/>
          <w:sz w:val="22"/>
          <w:szCs w:val="22"/>
        </w:rPr>
        <w:t>shCon</w:t>
      </w:r>
      <w:proofErr w:type="spellEnd"/>
      <w:r w:rsidRPr="00C47E4B">
        <w:rPr>
          <w:rFonts w:ascii="Arial" w:hAnsi="Arial" w:cs="Arial"/>
          <w:sz w:val="22"/>
          <w:szCs w:val="22"/>
        </w:rPr>
        <w:t>) (B), with quantification of biological replicates using band intensities normalized by a quantitative total protein stain (C)</w:t>
      </w:r>
      <w:r>
        <w:rPr>
          <w:rFonts w:ascii="Arial" w:hAnsi="Arial" w:cs="Arial"/>
          <w:sz w:val="22"/>
          <w:szCs w:val="22"/>
        </w:rPr>
        <w:t>.</w:t>
      </w:r>
      <w:r w:rsidRPr="00C47E4B">
        <w:rPr>
          <w:rFonts w:ascii="Arial" w:hAnsi="Arial" w:cs="Arial"/>
          <w:sz w:val="22"/>
          <w:szCs w:val="22"/>
        </w:rPr>
        <w:t xml:space="preserve"> N=4.</w:t>
      </w:r>
    </w:p>
    <w:p w:rsidR="008A5BA3" w:rsidRPr="00C47E4B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Pr="00C47E4B">
        <w:rPr>
          <w:rFonts w:ascii="Arial" w:hAnsi="Arial" w:cs="Arial"/>
          <w:b/>
          <w:bCs/>
          <w:sz w:val="22"/>
          <w:szCs w:val="22"/>
        </w:rPr>
        <w:t>D,E</w:t>
      </w:r>
      <w:proofErr w:type="gramEnd"/>
      <w:r w:rsidRPr="00C47E4B">
        <w:rPr>
          <w:rFonts w:ascii="Arial" w:hAnsi="Arial" w:cs="Arial"/>
          <w:b/>
          <w:bCs/>
          <w:sz w:val="22"/>
          <w:szCs w:val="22"/>
        </w:rPr>
        <w:t>)</w:t>
      </w:r>
      <w:r w:rsidRPr="00C47E4B">
        <w:rPr>
          <w:rFonts w:ascii="Arial" w:hAnsi="Arial" w:cs="Arial"/>
          <w:sz w:val="22"/>
          <w:szCs w:val="22"/>
        </w:rPr>
        <w:t xml:space="preserve"> Analysis of mRNA abundance in the HEK293 KO/WT cells by qPCR using probes targeting genes expressed from the mitochondrial DNA (D) or genes involved in the PGC-1alpha/NRF pathway (E)</w:t>
      </w:r>
      <w:r>
        <w:rPr>
          <w:rFonts w:ascii="Arial" w:hAnsi="Arial" w:cs="Arial"/>
          <w:sz w:val="22"/>
          <w:szCs w:val="22"/>
        </w:rPr>
        <w:t>.</w:t>
      </w:r>
      <w:r w:rsidRPr="00C47E4B">
        <w:rPr>
          <w:rFonts w:ascii="Arial" w:hAnsi="Arial" w:cs="Arial"/>
          <w:sz w:val="22"/>
          <w:szCs w:val="22"/>
        </w:rPr>
        <w:t xml:space="preserve"> N=3.</w:t>
      </w:r>
    </w:p>
    <w:p w:rsidR="008A5BA3" w:rsidRDefault="008A5BA3" w:rsidP="008A5BA3">
      <w:pPr>
        <w:rPr>
          <w:rFonts w:ascii="Arial" w:hAnsi="Arial" w:cs="Arial"/>
          <w:sz w:val="22"/>
          <w:szCs w:val="22"/>
        </w:rPr>
      </w:pPr>
      <w:r w:rsidRPr="00C47E4B">
        <w:rPr>
          <w:rFonts w:ascii="Arial" w:hAnsi="Arial" w:cs="Arial"/>
          <w:sz w:val="22"/>
          <w:szCs w:val="22"/>
        </w:rPr>
        <w:t xml:space="preserve">All averages shown are from independent biological replicates. Statistical significance of differences </w:t>
      </w:r>
      <w:r>
        <w:rPr>
          <w:rFonts w:ascii="Arial" w:hAnsi="Arial" w:cs="Arial"/>
          <w:sz w:val="22"/>
          <w:szCs w:val="22"/>
        </w:rPr>
        <w:t xml:space="preserve">was </w:t>
      </w:r>
      <w:r w:rsidRPr="00C47E4B">
        <w:rPr>
          <w:rFonts w:ascii="Arial" w:hAnsi="Arial" w:cs="Arial"/>
          <w:sz w:val="22"/>
          <w:szCs w:val="22"/>
        </w:rPr>
        <w:t>assessed by two-tailed unpaired Student's t-tests (*p≤0.05, **p≤0.001).</w:t>
      </w:r>
    </w:p>
    <w:p w:rsidR="008A5BA3" w:rsidRDefault="008A5BA3" w:rsidP="008A5BA3">
      <w:pPr>
        <w:rPr>
          <w:rFonts w:ascii="Arial" w:hAnsi="Arial" w:cs="Arial"/>
          <w:sz w:val="22"/>
          <w:szCs w:val="22"/>
        </w:rPr>
      </w:pPr>
    </w:p>
    <w:p w:rsidR="008A5BA3" w:rsidRPr="00557613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557613">
        <w:rPr>
          <w:rFonts w:ascii="Arial" w:hAnsi="Arial" w:cs="Arial"/>
          <w:b/>
          <w:bCs/>
          <w:sz w:val="22"/>
          <w:szCs w:val="22"/>
        </w:rPr>
        <w:t xml:space="preserve">Figure S3. </w:t>
      </w:r>
      <w:proofErr w:type="spellStart"/>
      <w:r w:rsidRPr="00557613">
        <w:rPr>
          <w:rFonts w:ascii="Arial" w:hAnsi="Arial" w:cs="Arial"/>
          <w:b/>
          <w:bCs/>
          <w:sz w:val="22"/>
          <w:szCs w:val="22"/>
        </w:rPr>
        <w:t>Oxiblot</w:t>
      </w:r>
      <w:proofErr w:type="spellEnd"/>
      <w:r w:rsidRPr="00557613">
        <w:rPr>
          <w:rFonts w:ascii="Arial" w:hAnsi="Arial" w:cs="Arial"/>
          <w:b/>
          <w:bCs/>
          <w:sz w:val="22"/>
          <w:szCs w:val="22"/>
        </w:rPr>
        <w:t xml:space="preserve"> assay and puromycin assay. Related to Figure 4.</w:t>
      </w:r>
    </w:p>
    <w:p w:rsidR="008A5BA3" w:rsidRPr="001A2AC7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4318E7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318E7">
        <w:rPr>
          <w:rFonts w:ascii="Arial" w:hAnsi="Arial" w:cs="Arial"/>
          <w:b/>
          <w:bCs/>
          <w:sz w:val="22"/>
          <w:szCs w:val="22"/>
        </w:rPr>
        <w:t>)</w:t>
      </w:r>
      <w:r w:rsidRPr="001A2A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</w:t>
      </w:r>
      <w:r w:rsidRPr="001A2AC7">
        <w:rPr>
          <w:rFonts w:ascii="Arial" w:hAnsi="Arial" w:cs="Arial"/>
          <w:sz w:val="22"/>
          <w:szCs w:val="22"/>
        </w:rPr>
        <w:t xml:space="preserve">uantitative total protein stain of the blot in </w:t>
      </w:r>
      <w:r>
        <w:rPr>
          <w:rFonts w:ascii="Arial" w:hAnsi="Arial" w:cs="Arial"/>
          <w:sz w:val="22"/>
          <w:szCs w:val="22"/>
        </w:rPr>
        <w:t>Figure 4C</w:t>
      </w:r>
      <w:r w:rsidRPr="001A2AC7">
        <w:rPr>
          <w:rFonts w:ascii="Arial" w:hAnsi="Arial" w:cs="Arial"/>
          <w:sz w:val="22"/>
          <w:szCs w:val="22"/>
        </w:rPr>
        <w:t>.</w:t>
      </w:r>
    </w:p>
    <w:p w:rsidR="008A5BA3" w:rsidRDefault="008A5BA3" w:rsidP="008A5BA3">
      <w:pPr>
        <w:rPr>
          <w:rFonts w:ascii="Arial" w:hAnsi="Arial" w:cs="Arial"/>
          <w:sz w:val="22"/>
          <w:szCs w:val="22"/>
        </w:rPr>
      </w:pPr>
      <w:r w:rsidRPr="004318E7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4318E7">
        <w:rPr>
          <w:rFonts w:ascii="Arial" w:hAnsi="Arial" w:cs="Arial"/>
          <w:b/>
          <w:bCs/>
          <w:sz w:val="22"/>
          <w:szCs w:val="22"/>
        </w:rPr>
        <w:t>)</w:t>
      </w:r>
      <w:r w:rsidRPr="001A2A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</w:t>
      </w:r>
      <w:r w:rsidRPr="001A2AC7">
        <w:rPr>
          <w:rFonts w:ascii="Arial" w:hAnsi="Arial" w:cs="Arial"/>
          <w:sz w:val="22"/>
          <w:szCs w:val="22"/>
        </w:rPr>
        <w:t xml:space="preserve">uantitative total protein stain of the blot in </w:t>
      </w:r>
      <w:r>
        <w:rPr>
          <w:rFonts w:ascii="Arial" w:hAnsi="Arial" w:cs="Arial"/>
          <w:sz w:val="22"/>
          <w:szCs w:val="22"/>
        </w:rPr>
        <w:t>Figure 4E</w:t>
      </w:r>
      <w:r w:rsidRPr="001A2AC7">
        <w:rPr>
          <w:rFonts w:ascii="Arial" w:hAnsi="Arial" w:cs="Arial"/>
          <w:sz w:val="22"/>
          <w:szCs w:val="22"/>
        </w:rPr>
        <w:t>.</w:t>
      </w:r>
    </w:p>
    <w:p w:rsidR="008A5BA3" w:rsidRDefault="008A5BA3" w:rsidP="008A5BA3">
      <w:pPr>
        <w:rPr>
          <w:rFonts w:ascii="Arial" w:hAnsi="Arial" w:cs="Arial"/>
          <w:sz w:val="22"/>
          <w:szCs w:val="22"/>
        </w:rPr>
      </w:pPr>
    </w:p>
    <w:p w:rsidR="008A5BA3" w:rsidRPr="00E43B01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E43B01">
        <w:rPr>
          <w:rFonts w:ascii="Arial" w:hAnsi="Arial" w:cs="Arial"/>
          <w:b/>
          <w:bCs/>
          <w:sz w:val="22"/>
          <w:szCs w:val="22"/>
        </w:rPr>
        <w:t>Figure S4. Replicate data for Seahorse Mito Stress Test on HEK293 LARP4 and U2OS LARP4 KO cell lines. Related to Figure 5.</w:t>
      </w:r>
    </w:p>
    <w:p w:rsidR="008A5BA3" w:rsidRPr="0042581A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E43B01">
        <w:rPr>
          <w:rFonts w:ascii="Arial" w:hAnsi="Arial" w:cs="Arial"/>
          <w:b/>
          <w:bCs/>
          <w:sz w:val="22"/>
          <w:szCs w:val="22"/>
        </w:rPr>
        <w:lastRenderedPageBreak/>
        <w:t>(</w:t>
      </w:r>
      <w:proofErr w:type="gramStart"/>
      <w:r w:rsidRPr="00E43B01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43B01">
        <w:rPr>
          <w:rFonts w:ascii="Arial" w:hAnsi="Arial" w:cs="Arial"/>
          <w:b/>
          <w:bCs/>
          <w:sz w:val="22"/>
          <w:szCs w:val="22"/>
        </w:rPr>
        <w:t>B</w:t>
      </w:r>
      <w:proofErr w:type="gramEnd"/>
      <w:r w:rsidRPr="00E43B01">
        <w:rPr>
          <w:rFonts w:ascii="Arial" w:hAnsi="Arial" w:cs="Arial"/>
          <w:b/>
          <w:bCs/>
          <w:sz w:val="22"/>
          <w:szCs w:val="22"/>
        </w:rPr>
        <w:t>)</w:t>
      </w:r>
      <w:r w:rsidRPr="00E43B01">
        <w:rPr>
          <w:rFonts w:ascii="Arial" w:hAnsi="Arial" w:cs="Arial"/>
          <w:sz w:val="22"/>
          <w:szCs w:val="22"/>
        </w:rPr>
        <w:t xml:space="preserve"> </w:t>
      </w:r>
      <w:r w:rsidRPr="0042581A">
        <w:rPr>
          <w:rFonts w:ascii="Arial" w:hAnsi="Arial" w:cs="Arial"/>
          <w:sz w:val="22"/>
          <w:szCs w:val="22"/>
        </w:rPr>
        <w:t>HEK293 LARP4 KO, Replicate 2.</w:t>
      </w:r>
    </w:p>
    <w:p w:rsidR="008A5BA3" w:rsidRPr="00E43B01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E43B01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Pr="00E43B01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43B01">
        <w:rPr>
          <w:rFonts w:ascii="Arial" w:hAnsi="Arial" w:cs="Arial"/>
          <w:b/>
          <w:bCs/>
          <w:sz w:val="22"/>
          <w:szCs w:val="22"/>
        </w:rPr>
        <w:t>D</w:t>
      </w:r>
      <w:proofErr w:type="gramEnd"/>
      <w:r w:rsidRPr="00E43B01">
        <w:rPr>
          <w:rFonts w:ascii="Arial" w:hAnsi="Arial" w:cs="Arial"/>
          <w:b/>
          <w:bCs/>
          <w:sz w:val="22"/>
          <w:szCs w:val="22"/>
        </w:rPr>
        <w:t>)</w:t>
      </w:r>
      <w:r w:rsidRPr="00E43B01">
        <w:rPr>
          <w:rFonts w:ascii="Arial" w:hAnsi="Arial" w:cs="Arial"/>
          <w:sz w:val="22"/>
          <w:szCs w:val="22"/>
        </w:rPr>
        <w:t xml:space="preserve"> </w:t>
      </w:r>
      <w:r w:rsidRPr="0042581A">
        <w:rPr>
          <w:rFonts w:ascii="Arial" w:hAnsi="Arial" w:cs="Arial"/>
          <w:sz w:val="22"/>
          <w:szCs w:val="22"/>
        </w:rPr>
        <w:t>HEK293 LARP4 KO, Replicate 3.</w:t>
      </w:r>
    </w:p>
    <w:p w:rsidR="008A5BA3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E43B01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Pr="00E43B01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43B01">
        <w:rPr>
          <w:rFonts w:ascii="Arial" w:hAnsi="Arial" w:cs="Arial"/>
          <w:b/>
          <w:bCs/>
          <w:sz w:val="22"/>
          <w:szCs w:val="22"/>
        </w:rPr>
        <w:t>F</w:t>
      </w:r>
      <w:proofErr w:type="gramEnd"/>
      <w:r w:rsidRPr="00E43B01">
        <w:rPr>
          <w:rFonts w:ascii="Arial" w:hAnsi="Arial" w:cs="Arial"/>
          <w:b/>
          <w:bCs/>
          <w:sz w:val="22"/>
          <w:szCs w:val="22"/>
        </w:rPr>
        <w:t>)</w:t>
      </w:r>
      <w:r w:rsidRPr="00E43B01">
        <w:rPr>
          <w:rFonts w:ascii="Arial" w:hAnsi="Arial" w:cs="Arial"/>
          <w:sz w:val="22"/>
          <w:szCs w:val="22"/>
        </w:rPr>
        <w:t xml:space="preserve"> </w:t>
      </w:r>
      <w:r w:rsidRPr="0042581A">
        <w:rPr>
          <w:rFonts w:ascii="Arial" w:hAnsi="Arial" w:cs="Arial"/>
          <w:sz w:val="22"/>
          <w:szCs w:val="22"/>
        </w:rPr>
        <w:t>U2OS LARP4 KO, Replicate 2.</w:t>
      </w:r>
    </w:p>
    <w:p w:rsidR="008A5BA3" w:rsidRDefault="008A5BA3" w:rsidP="008A5BA3">
      <w:pPr>
        <w:snapToGrid w:val="0"/>
        <w:jc w:val="both"/>
        <w:rPr>
          <w:rFonts w:ascii="Arial" w:hAnsi="Arial" w:cs="Arial"/>
          <w:sz w:val="22"/>
          <w:szCs w:val="22"/>
        </w:rPr>
      </w:pPr>
      <w:r w:rsidRPr="00E43B01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G,H</w:t>
      </w:r>
      <w:proofErr w:type="gramEnd"/>
      <w:r w:rsidRPr="00E43B01">
        <w:rPr>
          <w:rFonts w:ascii="Arial" w:hAnsi="Arial" w:cs="Arial"/>
          <w:b/>
          <w:bCs/>
          <w:sz w:val="22"/>
          <w:szCs w:val="22"/>
        </w:rPr>
        <w:t>)</w:t>
      </w:r>
      <w:r w:rsidRPr="00E43B01">
        <w:rPr>
          <w:rFonts w:ascii="Arial" w:hAnsi="Arial" w:cs="Arial"/>
          <w:sz w:val="22"/>
          <w:szCs w:val="22"/>
        </w:rPr>
        <w:t xml:space="preserve"> </w:t>
      </w:r>
      <w:r w:rsidRPr="0042581A">
        <w:rPr>
          <w:rFonts w:ascii="Arial" w:hAnsi="Arial" w:cs="Arial"/>
          <w:sz w:val="22"/>
          <w:szCs w:val="22"/>
        </w:rPr>
        <w:t xml:space="preserve">U2OS LARP4 KO, Replicate </w:t>
      </w:r>
      <w:r>
        <w:rPr>
          <w:rFonts w:ascii="Arial" w:hAnsi="Arial" w:cs="Arial"/>
          <w:sz w:val="22"/>
          <w:szCs w:val="22"/>
        </w:rPr>
        <w:t>3</w:t>
      </w:r>
      <w:r w:rsidRPr="0042581A">
        <w:rPr>
          <w:rFonts w:ascii="Arial" w:hAnsi="Arial" w:cs="Arial"/>
          <w:sz w:val="22"/>
          <w:szCs w:val="22"/>
        </w:rPr>
        <w:t>.</w:t>
      </w:r>
    </w:p>
    <w:p w:rsidR="008A5BA3" w:rsidRDefault="008A5BA3" w:rsidP="008A5BA3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  <w:r w:rsidRPr="00F17392">
        <w:rPr>
          <w:rFonts w:ascii="Arial" w:hAnsi="Arial" w:cs="Arial"/>
          <w:sz w:val="22"/>
          <w:szCs w:val="22"/>
        </w:rPr>
        <w:t xml:space="preserve">Statistical significance of differences </w:t>
      </w:r>
      <w:r>
        <w:rPr>
          <w:rFonts w:ascii="Arial" w:hAnsi="Arial" w:cs="Arial"/>
          <w:sz w:val="22"/>
          <w:szCs w:val="22"/>
        </w:rPr>
        <w:t xml:space="preserve">was </w:t>
      </w:r>
      <w:r w:rsidRPr="00F17392">
        <w:rPr>
          <w:rFonts w:ascii="Arial" w:hAnsi="Arial" w:cs="Arial"/>
          <w:sz w:val="22"/>
          <w:szCs w:val="22"/>
        </w:rPr>
        <w:t>assessed by two-tailed unpaired Student's t-tests (*p≤0.05, **p≤0.001, ***p≤0.0001).</w:t>
      </w:r>
    </w:p>
    <w:p w:rsidR="008A5BA3" w:rsidRDefault="008A5BA3" w:rsidP="008A5BA3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8A5BA3" w:rsidRDefault="008A5BA3" w:rsidP="008A5BA3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8A5BA3" w:rsidRDefault="008A5BA3" w:rsidP="008A5BA3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A5BA3" w:rsidRDefault="008A5BA3" w:rsidP="008A5BA3"/>
    <w:sectPr w:rsidR="008A5BA3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A3"/>
    <w:rsid w:val="00142123"/>
    <w:rsid w:val="008A5BA3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6A75C"/>
  <w15:chartTrackingRefBased/>
  <w15:docId w15:val="{A8F70012-D182-1F49-99CA-8A1C0EB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2023-12-20T15:42:00Z</dcterms:created>
  <dcterms:modified xsi:type="dcterms:W3CDTF">2023-12-20T15:46:00Z</dcterms:modified>
</cp:coreProperties>
</file>