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300F7" w:rsidRPr="000D2F05" w:rsidRDefault="004300F7" w:rsidP="004300F7">
      <w:pPr>
        <w:spacing w:line="480" w:lineRule="auto"/>
        <w:rPr>
          <w:rFonts w:asciiTheme="majorBidi" w:eastAsiaTheme="minorHAnsi" w:hAnsiTheme="majorBidi" w:cstheme="majorBidi"/>
          <w:sz w:val="24"/>
          <w:szCs w:val="24"/>
        </w:rPr>
      </w:pPr>
      <w:r w:rsidRPr="000D2F05">
        <w:rPr>
          <w:rFonts w:asciiTheme="majorBidi" w:eastAsiaTheme="minorHAnsi" w:hAnsiTheme="majorBidi" w:cstheme="majorBidi"/>
          <w:b/>
          <w:bCs/>
          <w:sz w:val="24"/>
          <w:szCs w:val="24"/>
        </w:rPr>
        <w:t xml:space="preserve">Supplemental Figure S1.  Schematic representation of the biologically-relevant in cell three-plasmid </w:t>
      </w:r>
      <w:r w:rsidRPr="000D2F05">
        <w:rPr>
          <w:rFonts w:asciiTheme="majorBidi" w:eastAsiaTheme="minorHAnsi" w:hAnsiTheme="majorBidi" w:cstheme="majorBidi"/>
          <w:b/>
          <w:bCs/>
          <w:i/>
          <w:iCs/>
          <w:sz w:val="24"/>
          <w:szCs w:val="24"/>
        </w:rPr>
        <w:t>trans</w:t>
      </w:r>
      <w:r w:rsidRPr="000D2F05">
        <w:rPr>
          <w:rFonts w:asciiTheme="majorBidi" w:eastAsiaTheme="minorHAnsi" w:hAnsiTheme="majorBidi" w:cstheme="majorBidi"/>
          <w:b/>
          <w:bCs/>
          <w:sz w:val="24"/>
          <w:szCs w:val="24"/>
        </w:rPr>
        <w:t xml:space="preserve"> complementation assay of FIV. </w:t>
      </w:r>
      <w:r w:rsidRPr="000D2F05">
        <w:rPr>
          <w:rFonts w:asciiTheme="majorBidi" w:eastAsiaTheme="minorHAnsi" w:hAnsiTheme="majorBidi" w:cstheme="majorBidi"/>
          <w:sz w:val="24"/>
          <w:szCs w:val="24"/>
        </w:rPr>
        <w:t xml:space="preserve">The virus particles made by the FIV Gag/Pro/Pol expression plasmid (MB22) were </w:t>
      </w:r>
      <w:proofErr w:type="spellStart"/>
      <w:r w:rsidRPr="000D2F05">
        <w:rPr>
          <w:rFonts w:asciiTheme="majorBidi" w:eastAsiaTheme="minorHAnsi" w:hAnsiTheme="majorBidi" w:cstheme="majorBidi"/>
          <w:sz w:val="24"/>
          <w:szCs w:val="24"/>
        </w:rPr>
        <w:t>pseudotyped</w:t>
      </w:r>
      <w:proofErr w:type="spellEnd"/>
      <w:r w:rsidRPr="000D2F05">
        <w:rPr>
          <w:rFonts w:asciiTheme="majorBidi" w:eastAsiaTheme="minorHAnsi" w:hAnsiTheme="majorBidi" w:cstheme="majorBidi"/>
          <w:sz w:val="24"/>
          <w:szCs w:val="24"/>
        </w:rPr>
        <w:t xml:space="preserve"> by the vesicular stomatitis virus envelope glycoprotein (VSV-G) expressed by MD.G and allowed packaging of the FIV sub-genomic wild type (TR394) or mutant transfer vector RNA</w:t>
      </w:r>
      <w:r>
        <w:rPr>
          <w:rFonts w:asciiTheme="majorBidi" w:eastAsiaTheme="minorHAnsi" w:hAnsiTheme="majorBidi" w:cstheme="majorBidi"/>
          <w:sz w:val="24"/>
          <w:szCs w:val="24"/>
        </w:rPr>
        <w:t>,</w:t>
      </w:r>
      <w:r w:rsidRPr="000D2F05">
        <w:rPr>
          <w:rFonts w:asciiTheme="majorBidi" w:eastAsiaTheme="minorHAnsi" w:hAnsiTheme="majorBidi" w:cstheme="majorBidi"/>
          <w:sz w:val="24"/>
          <w:szCs w:val="24"/>
        </w:rPr>
        <w:t xml:space="preserve"> provided they contained a functional packaging signal (</w:t>
      </w:r>
      <w:r w:rsidRPr="000D2F05">
        <w:rPr>
          <w:rFonts w:asciiTheme="majorBidi" w:eastAsiaTheme="minorHAnsi" w:hAnsiTheme="majorBidi" w:cstheme="majorBidi"/>
          <w:sz w:val="24"/>
          <w:szCs w:val="24"/>
          <w:lang w:val="el-GR"/>
        </w:rPr>
        <w:t>ψ</w:t>
      </w:r>
      <w:r w:rsidRPr="000D2F05">
        <w:rPr>
          <w:rFonts w:asciiTheme="majorBidi" w:eastAsiaTheme="minorHAnsi" w:hAnsiTheme="majorBidi" w:cstheme="majorBidi"/>
          <w:sz w:val="24"/>
          <w:szCs w:val="24"/>
        </w:rPr>
        <w:t>). Infectious virus particles were produced by HEK293T cells that have been co-transfected with the above-mentioned three plasmids. RNA from these cells was fractionated into nuclear and cytoplasmic components. Real time-qPCR was used to monitor the expression of each transfer vector RNA in the cytoplasmic fractions as well as determine how much RNA was packaged into the virus particles after extraction from the transfected HEK293Tcells. To evaluate the propagation of the packaged RNA within the produced virions in a single round of replication assay, the viral supernatants from HEK293T cells were used to infect target HeLa cells and infected cells were selected as colonies using hygromycin antibiotic in media.</w:t>
      </w:r>
    </w:p>
    <w:p w:rsidR="004300F7" w:rsidRPr="000D2F05" w:rsidRDefault="004300F7" w:rsidP="004300F7">
      <w:pPr>
        <w:spacing w:line="480" w:lineRule="auto"/>
        <w:rPr>
          <w:rFonts w:asciiTheme="majorBidi" w:eastAsiaTheme="minorHAnsi" w:hAnsiTheme="majorBidi" w:cstheme="majorBidi"/>
          <w:b/>
          <w:bCs/>
          <w:sz w:val="24"/>
          <w:szCs w:val="24"/>
        </w:rPr>
      </w:pPr>
      <w:r w:rsidRPr="000D2F05">
        <w:rPr>
          <w:rFonts w:asciiTheme="majorBidi" w:eastAsiaTheme="minorHAnsi" w:hAnsiTheme="majorBidi" w:cstheme="majorBidi"/>
          <w:b/>
          <w:bCs/>
          <w:sz w:val="24"/>
          <w:szCs w:val="24"/>
        </w:rPr>
        <w:t xml:space="preserve">Supplemental Figure S2.  Importance of </w:t>
      </w:r>
      <w:r w:rsidRPr="000D2F05">
        <w:rPr>
          <w:b/>
          <w:bCs/>
          <w:sz w:val="24"/>
          <w:szCs w:val="24"/>
        </w:rPr>
        <w:t>U5/</w:t>
      </w:r>
      <w:r w:rsidRPr="000D2F05">
        <w:rPr>
          <w:b/>
          <w:bCs/>
          <w:i/>
          <w:iCs/>
          <w:sz w:val="24"/>
          <w:szCs w:val="24"/>
        </w:rPr>
        <w:t>gag</w:t>
      </w:r>
      <w:r w:rsidRPr="000D2F05">
        <w:rPr>
          <w:b/>
          <w:bCs/>
          <w:sz w:val="24"/>
          <w:szCs w:val="24"/>
        </w:rPr>
        <w:t xml:space="preserve"> LRI </w:t>
      </w:r>
      <w:r w:rsidRPr="000D2F05">
        <w:rPr>
          <w:rFonts w:asciiTheme="majorBidi" w:eastAsiaTheme="minorHAnsi" w:hAnsiTheme="majorBidi" w:cstheme="majorBidi"/>
          <w:b/>
          <w:bCs/>
          <w:sz w:val="24"/>
          <w:szCs w:val="24"/>
        </w:rPr>
        <w:t xml:space="preserve">complementary sequences towards FIV RNA packaging and propagation. </w:t>
      </w:r>
      <w:r w:rsidRPr="000D2F05">
        <w:rPr>
          <w:rFonts w:asciiTheme="majorBidi" w:eastAsiaTheme="minorHAnsi" w:hAnsiTheme="majorBidi" w:cstheme="majorBidi"/>
          <w:sz w:val="24"/>
          <w:szCs w:val="24"/>
        </w:rPr>
        <w:t xml:space="preserve">Schematic representation of the </w:t>
      </w:r>
      <w:proofErr w:type="spellStart"/>
      <w:r w:rsidRPr="000D2F05">
        <w:rPr>
          <w:rFonts w:asciiTheme="majorBidi" w:eastAsiaTheme="minorHAnsi" w:hAnsiTheme="majorBidi" w:cstheme="majorBidi"/>
          <w:sz w:val="24"/>
          <w:szCs w:val="24"/>
        </w:rPr>
        <w:t>hSHAPE</w:t>
      </w:r>
      <w:proofErr w:type="spellEnd"/>
      <w:r w:rsidRPr="000D2F05">
        <w:rPr>
          <w:rFonts w:asciiTheme="majorBidi" w:eastAsiaTheme="minorHAnsi" w:hAnsiTheme="majorBidi" w:cstheme="majorBidi"/>
          <w:sz w:val="24"/>
          <w:szCs w:val="24"/>
        </w:rPr>
        <w:t>-validated secondary structure model of the FIV packaging signal RNA presented in this study.</w:t>
      </w:r>
      <w:r w:rsidRPr="000D2F05">
        <w:rPr>
          <w:rFonts w:asciiTheme="majorBidi" w:eastAsiaTheme="minorHAnsi" w:hAnsiTheme="majorBidi" w:cstheme="majorBidi"/>
          <w:b/>
          <w:bCs/>
          <w:sz w:val="24"/>
          <w:szCs w:val="24"/>
        </w:rPr>
        <w:t xml:space="preserve">  </w:t>
      </w:r>
      <w:r w:rsidRPr="000D2F05">
        <w:rPr>
          <w:sz w:val="24"/>
          <w:szCs w:val="24"/>
        </w:rPr>
        <w:t>The U5/</w:t>
      </w:r>
      <w:r w:rsidRPr="000D2F05">
        <w:rPr>
          <w:i/>
          <w:iCs/>
          <w:sz w:val="24"/>
          <w:szCs w:val="24"/>
        </w:rPr>
        <w:t>gag</w:t>
      </w:r>
      <w:r w:rsidRPr="000D2F05">
        <w:rPr>
          <w:sz w:val="24"/>
          <w:szCs w:val="24"/>
        </w:rPr>
        <w:t xml:space="preserve"> LRI is boxed. </w:t>
      </w:r>
      <w:r w:rsidRPr="000D2F05">
        <w:rPr>
          <w:b/>
          <w:bCs/>
          <w:sz w:val="24"/>
          <w:szCs w:val="24"/>
        </w:rPr>
        <w:t>A.</w:t>
      </w:r>
      <w:r w:rsidRPr="000D2F05">
        <w:rPr>
          <w:sz w:val="24"/>
          <w:szCs w:val="24"/>
        </w:rPr>
        <w:t xml:space="preserve"> Base pairing of the wild type (WT) and mutated complementary strands are shown as an inset. In this mutation, the two stems of the LRI were swapped and flipped while maintaining complementarity as well as the number of Watson-Crick and Wobble base pairing.  </w:t>
      </w:r>
      <w:r w:rsidRPr="000D2F05">
        <w:rPr>
          <w:b/>
          <w:bCs/>
          <w:sz w:val="24"/>
          <w:szCs w:val="24"/>
        </w:rPr>
        <w:t>B &amp; C.</w:t>
      </w:r>
      <w:r w:rsidRPr="000D2F05">
        <w:rPr>
          <w:sz w:val="24"/>
          <w:szCs w:val="24"/>
        </w:rPr>
        <w:t xml:space="preserve"> RNA packaging and propagation efficiency, respectively, of the mutant clone (AD117) and WT.</w:t>
      </w:r>
    </w:p>
    <w:p w:rsidR="004300F7" w:rsidRPr="00070B26" w:rsidRDefault="004300F7" w:rsidP="004300F7">
      <w:pPr>
        <w:spacing w:line="480" w:lineRule="auto"/>
        <w:rPr>
          <w:sz w:val="24"/>
          <w:szCs w:val="24"/>
        </w:rPr>
      </w:pPr>
      <w:r w:rsidRPr="000D2F05">
        <w:rPr>
          <w:rFonts w:asciiTheme="majorBidi" w:eastAsiaTheme="minorHAnsi" w:hAnsiTheme="majorBidi" w:cstheme="majorBidi"/>
          <w:b/>
          <w:bCs/>
          <w:sz w:val="24"/>
          <w:szCs w:val="24"/>
        </w:rPr>
        <w:t>Supplemental Figure S3. Characterization of the FIV Pr50</w:t>
      </w:r>
      <w:r w:rsidRPr="000D2F05">
        <w:rPr>
          <w:rFonts w:asciiTheme="majorBidi" w:eastAsiaTheme="minorHAnsi" w:hAnsiTheme="majorBidi" w:cstheme="majorBidi"/>
          <w:b/>
          <w:bCs/>
          <w:sz w:val="24"/>
          <w:szCs w:val="24"/>
          <w:vertAlign w:val="superscript"/>
        </w:rPr>
        <w:t>Gag</w:t>
      </w:r>
      <w:r w:rsidRPr="000D2F05">
        <w:rPr>
          <w:rFonts w:asciiTheme="majorBidi" w:eastAsiaTheme="minorHAnsi" w:hAnsiTheme="majorBidi" w:cstheme="majorBidi"/>
          <w:sz w:val="24"/>
          <w:szCs w:val="24"/>
        </w:rPr>
        <w:t xml:space="preserve"> </w:t>
      </w:r>
      <w:r w:rsidRPr="000D2F05">
        <w:rPr>
          <w:rFonts w:asciiTheme="majorBidi" w:eastAsiaTheme="minorHAnsi" w:hAnsiTheme="majorBidi" w:cstheme="majorBidi"/>
          <w:b/>
          <w:bCs/>
          <w:sz w:val="24"/>
          <w:szCs w:val="24"/>
        </w:rPr>
        <w:t>protein by gel electrophoresis and dynamic light scattering (DLS). A.</w:t>
      </w:r>
      <w:r w:rsidRPr="000D2F05">
        <w:rPr>
          <w:rFonts w:asciiTheme="majorBidi" w:eastAsiaTheme="minorHAnsi" w:hAnsiTheme="majorBidi" w:cstheme="majorBidi"/>
          <w:sz w:val="24"/>
          <w:szCs w:val="24"/>
        </w:rPr>
        <w:t xml:space="preserve"> Coomassie brilliant blue stained SDS-</w:t>
      </w:r>
      <w:r w:rsidRPr="000D2F05">
        <w:rPr>
          <w:rFonts w:asciiTheme="majorBidi" w:eastAsiaTheme="minorHAnsi" w:hAnsiTheme="majorBidi" w:cstheme="majorBidi"/>
          <w:sz w:val="24"/>
          <w:szCs w:val="24"/>
        </w:rPr>
        <w:lastRenderedPageBreak/>
        <w:t>PAGE showing the presence of the purest form of the recombinant full-length FIV Pr50</w:t>
      </w:r>
      <w:r w:rsidRPr="000D2F05">
        <w:rPr>
          <w:rFonts w:asciiTheme="majorBidi" w:eastAsiaTheme="minorHAnsi" w:hAnsiTheme="majorBidi" w:cstheme="majorBidi"/>
          <w:sz w:val="24"/>
          <w:szCs w:val="24"/>
          <w:vertAlign w:val="superscript"/>
        </w:rPr>
        <w:t>Gag</w:t>
      </w:r>
      <w:r w:rsidRPr="000D2F05">
        <w:rPr>
          <w:rFonts w:asciiTheme="majorBidi" w:eastAsiaTheme="minorHAnsi" w:hAnsiTheme="majorBidi" w:cstheme="majorBidi"/>
          <w:sz w:val="24"/>
          <w:szCs w:val="24"/>
        </w:rPr>
        <w:t>-His</w:t>
      </w:r>
      <w:r w:rsidRPr="000D2F05">
        <w:rPr>
          <w:rFonts w:asciiTheme="majorBidi" w:eastAsiaTheme="minorHAnsi" w:hAnsiTheme="majorBidi" w:cstheme="majorBidi"/>
          <w:sz w:val="24"/>
          <w:szCs w:val="24"/>
          <w:vertAlign w:val="subscript"/>
        </w:rPr>
        <w:t>6</w:t>
      </w:r>
      <w:r w:rsidRPr="000D2F05">
        <w:rPr>
          <w:rFonts w:asciiTheme="majorBidi" w:eastAsiaTheme="minorHAnsi" w:hAnsiTheme="majorBidi" w:cstheme="majorBidi"/>
          <w:sz w:val="24"/>
          <w:szCs w:val="24"/>
        </w:rPr>
        <w:t xml:space="preserve">-tag fusion protein </w:t>
      </w:r>
      <w:r w:rsidRPr="000D2F05">
        <w:rPr>
          <w:rFonts w:asciiTheme="majorBidi" w:eastAsiaTheme="minorHAnsi" w:hAnsiTheme="majorBidi" w:cstheme="majorBidi"/>
          <w:b/>
          <w:bCs/>
          <w:sz w:val="24"/>
          <w:szCs w:val="24"/>
        </w:rPr>
        <w:t>B.</w:t>
      </w:r>
      <w:r w:rsidRPr="000D2F05">
        <w:rPr>
          <w:rFonts w:asciiTheme="majorBidi" w:eastAsiaTheme="minorHAnsi" w:hAnsiTheme="majorBidi" w:cstheme="majorBidi"/>
          <w:sz w:val="24"/>
          <w:szCs w:val="24"/>
        </w:rPr>
        <w:t xml:space="preserve"> Western blot analyses of the purified protein using α-His</w:t>
      </w:r>
      <w:r w:rsidRPr="000D2F05">
        <w:rPr>
          <w:rFonts w:asciiTheme="majorBidi" w:eastAsiaTheme="minorHAnsi" w:hAnsiTheme="majorBidi" w:cstheme="majorBidi"/>
          <w:sz w:val="24"/>
          <w:szCs w:val="24"/>
          <w:vertAlign w:val="subscript"/>
        </w:rPr>
        <w:t>6</w:t>
      </w:r>
      <w:r w:rsidRPr="000D2F05">
        <w:rPr>
          <w:rFonts w:asciiTheme="majorBidi" w:eastAsiaTheme="minorHAnsi" w:hAnsiTheme="majorBidi" w:cstheme="majorBidi"/>
          <w:sz w:val="24"/>
          <w:szCs w:val="24"/>
        </w:rPr>
        <w:t xml:space="preserve"> and FIV α-p24 monoclonal antibodies, respectively, using equal amounts of protein. </w:t>
      </w:r>
      <w:bookmarkStart w:id="0" w:name="_Hlk138692553"/>
      <w:r w:rsidRPr="000D2F05">
        <w:rPr>
          <w:rFonts w:asciiTheme="majorBidi" w:eastAsiaTheme="minorHAnsi" w:hAnsiTheme="majorBidi" w:cstheme="majorBidi"/>
          <w:b/>
          <w:bCs/>
          <w:sz w:val="24"/>
          <w:szCs w:val="24"/>
        </w:rPr>
        <w:t>C &amp; D.</w:t>
      </w:r>
      <w:r w:rsidRPr="000D2F05">
        <w:rPr>
          <w:rFonts w:asciiTheme="majorBidi" w:eastAsiaTheme="minorHAnsi" w:hAnsiTheme="majorBidi" w:cstheme="majorBidi"/>
          <w:sz w:val="24"/>
          <w:szCs w:val="24"/>
        </w:rPr>
        <w:t xml:space="preserve"> Characterization of the FIV Gag protein by dynamic light scattering (DLS) </w:t>
      </w:r>
      <w:bookmarkEnd w:id="0"/>
      <w:r w:rsidRPr="000D2F05">
        <w:rPr>
          <w:rFonts w:asciiTheme="majorBidi" w:eastAsiaTheme="minorHAnsi" w:hAnsiTheme="majorBidi" w:cstheme="majorBidi"/>
          <w:b/>
          <w:bCs/>
          <w:sz w:val="24"/>
          <w:szCs w:val="24"/>
        </w:rPr>
        <w:t>C.</w:t>
      </w:r>
      <w:r w:rsidRPr="000D2F05">
        <w:rPr>
          <w:rFonts w:asciiTheme="majorBidi" w:eastAsiaTheme="minorHAnsi" w:hAnsiTheme="majorBidi" w:cstheme="majorBidi"/>
          <w:sz w:val="24"/>
          <w:szCs w:val="24"/>
        </w:rPr>
        <w:t xml:space="preserve"> Protein volume </w:t>
      </w:r>
      <w:r w:rsidRPr="000D2F05">
        <w:rPr>
          <w:rFonts w:asciiTheme="majorBidi" w:eastAsiaTheme="minorHAnsi" w:hAnsiTheme="majorBidi" w:cstheme="majorBidi"/>
          <w:i/>
          <w:iCs/>
          <w:sz w:val="24"/>
          <w:szCs w:val="24"/>
        </w:rPr>
        <w:t>versus</w:t>
      </w:r>
      <w:r w:rsidRPr="000D2F05">
        <w:rPr>
          <w:rFonts w:asciiTheme="majorBidi" w:eastAsiaTheme="minorHAnsi" w:hAnsiTheme="majorBidi" w:cstheme="majorBidi"/>
          <w:sz w:val="24"/>
          <w:szCs w:val="24"/>
        </w:rPr>
        <w:t xml:space="preserve"> the hydrodynamic diameter, and </w:t>
      </w:r>
      <w:r w:rsidRPr="000D2F05">
        <w:rPr>
          <w:rFonts w:asciiTheme="majorBidi" w:eastAsiaTheme="minorHAnsi" w:hAnsiTheme="majorBidi" w:cstheme="majorBidi"/>
          <w:b/>
          <w:bCs/>
          <w:sz w:val="24"/>
          <w:szCs w:val="24"/>
        </w:rPr>
        <w:t>D.</w:t>
      </w:r>
      <w:r w:rsidRPr="000D2F05">
        <w:rPr>
          <w:rFonts w:asciiTheme="majorBidi" w:eastAsiaTheme="minorHAnsi" w:hAnsiTheme="majorBidi" w:cstheme="majorBidi"/>
          <w:sz w:val="24"/>
          <w:szCs w:val="24"/>
        </w:rPr>
        <w:t xml:space="preserve"> protein number </w:t>
      </w:r>
      <w:r w:rsidRPr="000D2F05">
        <w:rPr>
          <w:rFonts w:asciiTheme="majorBidi" w:eastAsiaTheme="minorHAnsi" w:hAnsiTheme="majorBidi" w:cstheme="majorBidi"/>
          <w:i/>
          <w:iCs/>
          <w:sz w:val="24"/>
          <w:szCs w:val="24"/>
        </w:rPr>
        <w:t>versus</w:t>
      </w:r>
      <w:r w:rsidRPr="000D2F05">
        <w:rPr>
          <w:rFonts w:asciiTheme="majorBidi" w:eastAsiaTheme="minorHAnsi" w:hAnsiTheme="majorBidi" w:cstheme="majorBidi"/>
          <w:sz w:val="24"/>
          <w:szCs w:val="24"/>
        </w:rPr>
        <w:t xml:space="preserve"> the hydrodynamic</w:t>
      </w:r>
      <w:r w:rsidRPr="000D2F05">
        <w:rPr>
          <w:rFonts w:asciiTheme="majorBidi" w:eastAsiaTheme="minorHAnsi" w:hAnsiTheme="majorBidi" w:cstheme="majorBidi"/>
          <w:strike/>
          <w:sz w:val="24"/>
          <w:szCs w:val="24"/>
        </w:rPr>
        <w:t xml:space="preserve"> </w:t>
      </w:r>
      <w:r w:rsidRPr="000D2F05">
        <w:rPr>
          <w:rFonts w:asciiTheme="majorBidi" w:eastAsiaTheme="minorHAnsi" w:hAnsiTheme="majorBidi" w:cstheme="majorBidi"/>
          <w:sz w:val="24"/>
          <w:szCs w:val="24"/>
        </w:rPr>
        <w:t>diameter.</w:t>
      </w:r>
    </w:p>
    <w:p w:rsidR="00E67427" w:rsidRDefault="00E67427"/>
    <w:sectPr w:rsidR="00E67427" w:rsidSect="000C659C">
      <w:headerReference w:type="default" r:id="rId4"/>
      <w:footerReference w:type="default" r:id="rId5"/>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000000">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rsidR="00000000" w:rsidRDefault="00000000">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000000">
    <w:pPr>
      <w:pStyle w:val="Header"/>
    </w:pPr>
    <w:r>
      <w:t>Anjana Krishnan</w:t>
    </w:r>
  </w:p>
  <w:p w:rsidR="00000000" w:rsidRDefault="000000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0F7"/>
    <w:rsid w:val="004300F7"/>
    <w:rsid w:val="00E674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42612C5F-823E-E944-902A-150156CC4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00F7"/>
    <w:rPr>
      <w:rFonts w:ascii="Times New Roman" w:eastAsia="Times New Roman" w:hAnsi="Times New Roman" w:cs="Times New Roman"/>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00F7"/>
    <w:pPr>
      <w:tabs>
        <w:tab w:val="center" w:pos="4680"/>
        <w:tab w:val="right" w:pos="9360"/>
      </w:tabs>
    </w:pPr>
  </w:style>
  <w:style w:type="character" w:customStyle="1" w:styleId="HeaderChar">
    <w:name w:val="Header Char"/>
    <w:basedOn w:val="DefaultParagraphFont"/>
    <w:link w:val="Header"/>
    <w:uiPriority w:val="99"/>
    <w:rsid w:val="004300F7"/>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unhideWhenUsed/>
    <w:rsid w:val="004300F7"/>
    <w:pPr>
      <w:tabs>
        <w:tab w:val="center" w:pos="4680"/>
        <w:tab w:val="right" w:pos="9360"/>
      </w:tabs>
    </w:pPr>
  </w:style>
  <w:style w:type="character" w:customStyle="1" w:styleId="FooterChar">
    <w:name w:val="Footer Char"/>
    <w:basedOn w:val="DefaultParagraphFont"/>
    <w:link w:val="Footer"/>
    <w:uiPriority w:val="99"/>
    <w:rsid w:val="004300F7"/>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362</Words>
  <Characters>2068</Characters>
  <Application>Microsoft Office Word</Application>
  <DocSecurity>0</DocSecurity>
  <Lines>17</Lines>
  <Paragraphs>4</Paragraphs>
  <ScaleCrop>false</ScaleCrop>
  <Company/>
  <LinksUpToDate>false</LinksUpToDate>
  <CharactersWithSpaces>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Jarski</dc:creator>
  <cp:keywords/>
  <dc:description/>
  <cp:lastModifiedBy>Deborah Jarski</cp:lastModifiedBy>
  <cp:revision>1</cp:revision>
  <dcterms:created xsi:type="dcterms:W3CDTF">2023-11-01T16:11:00Z</dcterms:created>
  <dcterms:modified xsi:type="dcterms:W3CDTF">2023-11-01T16:11:00Z</dcterms:modified>
</cp:coreProperties>
</file>