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588F" w14:textId="4E7D1998" w:rsidR="008933E6" w:rsidRDefault="008933E6" w:rsidP="00545006">
      <w:pPr>
        <w:spacing w:beforeLines="120" w:before="288" w:line="480" w:lineRule="auto"/>
        <w:jc w:val="both"/>
        <w:rPr>
          <w:rFonts w:eastAsia="Arial"/>
          <w:b/>
          <w:bCs/>
          <w:color w:val="000000" w:themeColor="text1"/>
        </w:rPr>
      </w:pPr>
      <w:r>
        <w:rPr>
          <w:rFonts w:eastAsia="Arial"/>
          <w:b/>
          <w:bCs/>
          <w:color w:val="000000" w:themeColor="text1"/>
        </w:rPr>
        <w:t>Supplementary Information</w:t>
      </w:r>
    </w:p>
    <w:p w14:paraId="7862BEBF" w14:textId="58A28FC1" w:rsidR="008933E6" w:rsidRDefault="00501367" w:rsidP="00545006">
      <w:pPr>
        <w:spacing w:beforeLines="120" w:before="288" w:line="480" w:lineRule="auto"/>
        <w:jc w:val="both"/>
        <w:rPr>
          <w:rFonts w:eastAsia="Arial"/>
          <w:b/>
          <w:bCs/>
          <w:color w:val="000000" w:themeColor="text1"/>
        </w:rPr>
      </w:pPr>
      <w:r w:rsidRPr="00501367">
        <w:rPr>
          <w:rFonts w:eastAsia="Arial"/>
          <w:b/>
          <w:bCs/>
          <w:color w:val="000000" w:themeColor="text1"/>
        </w:rPr>
        <w:drawing>
          <wp:inline distT="0" distB="0" distL="0" distR="0" wp14:anchorId="6F71C277" wp14:editId="7A3E49E3">
            <wp:extent cx="5511800" cy="749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9623" w14:textId="4D9BBF66" w:rsidR="00501367" w:rsidRDefault="00545006" w:rsidP="00545006">
      <w:pPr>
        <w:spacing w:beforeLines="120" w:before="288" w:line="480" w:lineRule="auto"/>
        <w:jc w:val="both"/>
        <w:rPr>
          <w:rFonts w:eastAsia="Arial"/>
          <w:b/>
          <w:bCs/>
          <w:color w:val="000000" w:themeColor="text1"/>
        </w:rPr>
      </w:pPr>
      <w:r w:rsidRPr="00545006">
        <w:rPr>
          <w:rFonts w:eastAsia="Arial"/>
          <w:b/>
          <w:bCs/>
          <w:color w:val="000000" w:themeColor="text1"/>
        </w:rPr>
        <w:lastRenderedPageBreak/>
        <w:t xml:space="preserve">Supplemental Figure 1: Example of VODKA </w:t>
      </w:r>
      <w:r w:rsidR="00501367">
        <w:rPr>
          <w:rFonts w:eastAsia="Arial"/>
          <w:b/>
          <w:bCs/>
          <w:color w:val="000000" w:themeColor="text1"/>
        </w:rPr>
        <w:t>Catalog</w:t>
      </w:r>
      <w:r w:rsidRPr="00545006">
        <w:rPr>
          <w:rFonts w:eastAsia="Arial"/>
          <w:b/>
          <w:bCs/>
          <w:color w:val="000000" w:themeColor="text1"/>
        </w:rPr>
        <w:t xml:space="preserve"> Generation. </w:t>
      </w:r>
      <w:r w:rsidRPr="00545006">
        <w:rPr>
          <w:rFonts w:eastAsia="Arial"/>
          <w:color w:val="000000" w:themeColor="text1"/>
        </w:rPr>
        <w:t>A) Schematic for VODKA2 delVG database generation. B) Schematic for VODKA2 cbVG database generation. C) Orientation and readout of cbVG junction in VODKA2 database.</w:t>
      </w:r>
      <w:r w:rsidRPr="00545006">
        <w:rPr>
          <w:rFonts w:eastAsia="Arial"/>
          <w:b/>
          <w:bCs/>
          <w:color w:val="000000" w:themeColor="text1"/>
        </w:rPr>
        <w:t xml:space="preserve"> </w:t>
      </w:r>
    </w:p>
    <w:p w14:paraId="6B0A7B1A" w14:textId="77777777" w:rsidR="00501367" w:rsidRDefault="00501367">
      <w:pPr>
        <w:rPr>
          <w:rFonts w:eastAsia="Arial"/>
          <w:b/>
          <w:bCs/>
          <w:color w:val="000000" w:themeColor="text1"/>
        </w:rPr>
      </w:pPr>
      <w:r>
        <w:rPr>
          <w:rFonts w:eastAsia="Arial"/>
          <w:b/>
          <w:bCs/>
          <w:color w:val="000000" w:themeColor="text1"/>
        </w:rPr>
        <w:br w:type="page"/>
      </w:r>
    </w:p>
    <w:p w14:paraId="71F96384" w14:textId="77777777" w:rsidR="00501367" w:rsidRDefault="00501367" w:rsidP="00545006">
      <w:pPr>
        <w:spacing w:beforeLines="120" w:before="288" w:line="480" w:lineRule="auto"/>
        <w:jc w:val="both"/>
        <w:rPr>
          <w:rFonts w:eastAsia="Arial"/>
          <w:b/>
          <w:bCs/>
          <w:color w:val="000000" w:themeColor="text1"/>
        </w:rPr>
      </w:pPr>
      <w:r w:rsidRPr="00501367">
        <w:rPr>
          <w:rFonts w:eastAsia="Arial"/>
          <w:b/>
          <w:bCs/>
          <w:color w:val="000000" w:themeColor="text1"/>
        </w:rPr>
        <w:lastRenderedPageBreak/>
        <w:drawing>
          <wp:inline distT="0" distB="0" distL="0" distR="0" wp14:anchorId="0E05CFC9" wp14:editId="0128FFBB">
            <wp:extent cx="5943600" cy="22161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D9F2" w14:textId="1CE756CB" w:rsidR="00545006" w:rsidRPr="00545006" w:rsidRDefault="00545006" w:rsidP="00545006">
      <w:pPr>
        <w:spacing w:beforeLines="120" w:before="288" w:line="480" w:lineRule="auto"/>
        <w:jc w:val="both"/>
        <w:rPr>
          <w:rFonts w:eastAsia="Arial"/>
          <w:color w:val="44546A" w:themeColor="text2"/>
        </w:rPr>
      </w:pPr>
      <w:r w:rsidRPr="00545006">
        <w:rPr>
          <w:rFonts w:eastAsia="Arial"/>
          <w:b/>
          <w:bCs/>
          <w:color w:val="000000" w:themeColor="text1"/>
        </w:rPr>
        <w:t>Supplemental Figure 2: Example of Species_ID Aggregation.</w:t>
      </w:r>
      <w:r w:rsidRPr="00545006">
        <w:rPr>
          <w:rFonts w:eastAsia="Arial"/>
          <w:color w:val="44546A" w:themeColor="text2"/>
        </w:rPr>
        <w:t xml:space="preserve"> </w:t>
      </w:r>
      <w:r w:rsidRPr="00545006">
        <w:rPr>
          <w:rFonts w:eastAsia="Arial"/>
          <w:color w:val="000000" w:themeColor="text1"/>
        </w:rPr>
        <w:t>Species_ID pooling for delVG 17_32, delVG 18_33, delVG 19_34, and delVG 20_35, where the delVG read counts are summed and assigned to the mode species within the group.</w:t>
      </w:r>
      <w:r w:rsidRPr="00545006">
        <w:rPr>
          <w:rFonts w:eastAsia="Arial"/>
          <w:color w:val="44546A" w:themeColor="text2"/>
        </w:rPr>
        <w:t xml:space="preserve"> </w:t>
      </w:r>
    </w:p>
    <w:p w14:paraId="5CA5EB99" w14:textId="5EE65C2B" w:rsidR="00545006" w:rsidRPr="00545006" w:rsidRDefault="00545006"/>
    <w:sectPr w:rsidR="00545006" w:rsidRPr="00545006" w:rsidSect="008933E6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06"/>
    <w:rsid w:val="00501367"/>
    <w:rsid w:val="00545006"/>
    <w:rsid w:val="008933E6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E3D0"/>
  <w15:chartTrackingRefBased/>
  <w15:docId w15:val="{E2A83DE2-831E-AE4B-B50D-26F95652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4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Achouri, Emna</dc:creator>
  <cp:keywords/>
  <dc:description/>
  <cp:lastModifiedBy>Lopez, Carolina</cp:lastModifiedBy>
  <cp:revision>3</cp:revision>
  <dcterms:created xsi:type="dcterms:W3CDTF">2023-04-21T16:37:00Z</dcterms:created>
  <dcterms:modified xsi:type="dcterms:W3CDTF">2023-10-17T19:30:00Z</dcterms:modified>
</cp:coreProperties>
</file>