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2360" w14:textId="77777777" w:rsidR="00B50B02" w:rsidRPr="00B50B02" w:rsidRDefault="00B50B02" w:rsidP="00B50B02">
      <w:pPr>
        <w:spacing w:before="60" w:after="60" w:line="480" w:lineRule="auto"/>
        <w:rPr>
          <w:rFonts w:ascii="Times New Roman" w:eastAsia="SimSun" w:hAnsi="Times New Roman" w:cs="Times New Roman"/>
          <w:color w:val="0000FF"/>
          <w:kern w:val="0"/>
          <w:sz w:val="32"/>
          <w:szCs w:val="24"/>
          <w14:ligatures w14:val="none"/>
        </w:rPr>
      </w:pPr>
      <w:r w:rsidRPr="00B50B02">
        <w:rPr>
          <w:rFonts w:ascii="Times New Roman" w:eastAsia="SimSun" w:hAnsi="Times New Roman" w:cs="Times New Roman"/>
          <w:color w:val="0000FF"/>
          <w:kern w:val="0"/>
          <w:sz w:val="32"/>
          <w:szCs w:val="24"/>
          <w14:ligatures w14:val="none"/>
        </w:rPr>
        <w:t xml:space="preserve">SUPPLEMENTAL </w:t>
      </w:r>
      <w:commentRangeStart w:id="0"/>
      <w:r w:rsidRPr="00B50B02">
        <w:rPr>
          <w:rFonts w:ascii="Times New Roman" w:eastAsia="SimSun" w:hAnsi="Times New Roman" w:cs="Times New Roman"/>
          <w:color w:val="0000FF"/>
          <w:kern w:val="0"/>
          <w:sz w:val="32"/>
          <w:szCs w:val="24"/>
          <w14:ligatures w14:val="none"/>
        </w:rPr>
        <w:t>NOTE</w:t>
      </w:r>
      <w:commentRangeEnd w:id="0"/>
      <w:r w:rsidRPr="00B50B02">
        <w:rPr>
          <w:rFonts w:ascii="Times New Roman" w:eastAsia="SimSun" w:hAnsi="Times New Roman" w:cs="Times New Roman"/>
          <w:kern w:val="0"/>
          <w:sz w:val="16"/>
          <w:szCs w:val="16"/>
          <w14:ligatures w14:val="none"/>
        </w:rPr>
        <w:commentReference w:id="0"/>
      </w:r>
    </w:p>
    <w:p w14:paraId="7F9BE40D" w14:textId="77777777" w:rsidR="00B50B02" w:rsidRPr="00B50B02" w:rsidRDefault="00B50B02" w:rsidP="00B50B02">
      <w:pPr>
        <w:spacing w:before="60" w:after="60" w:line="480" w:lineRule="auto"/>
        <w:rPr>
          <w:rFonts w:ascii="Times New Roman" w:eastAsia="SimSun" w:hAnsi="Times New Roman" w:cs="Times New Roman"/>
          <w:color w:val="FF0000"/>
          <w:kern w:val="0"/>
          <w:sz w:val="28"/>
          <w:szCs w:val="24"/>
          <w14:ligatures w14:val="none"/>
        </w:rPr>
      </w:pPr>
      <w:r w:rsidRPr="00B50B02">
        <w:rPr>
          <w:rFonts w:ascii="Times New Roman" w:eastAsia="SimSun" w:hAnsi="Times New Roman" w:cs="Times New Roman"/>
          <w:color w:val="FF0000"/>
          <w:kern w:val="0"/>
          <w:sz w:val="28"/>
          <w:szCs w:val="24"/>
          <w14:ligatures w14:val="none"/>
        </w:rPr>
        <w:t xml:space="preserve">SAFB/2 loss does not cause major disruptions to steady-state levels of H3K27me3 or </w:t>
      </w:r>
      <w:r w:rsidRPr="00B50B02">
        <w:rPr>
          <w:rFonts w:ascii="Times New Roman" w:eastAsia="SimSun" w:hAnsi="Times New Roman" w:cs="Times New Roman"/>
          <w:i/>
          <w:color w:val="FF0000"/>
          <w:kern w:val="0"/>
          <w:sz w:val="28"/>
          <w:szCs w:val="24"/>
          <w14:ligatures w14:val="none"/>
        </w:rPr>
        <w:t>Xist</w:t>
      </w:r>
      <w:r w:rsidRPr="00B50B02">
        <w:rPr>
          <w:rFonts w:ascii="Times New Roman" w:eastAsia="SimSun" w:hAnsi="Times New Roman" w:cs="Times New Roman"/>
          <w:color w:val="FF0000"/>
          <w:kern w:val="0"/>
          <w:sz w:val="28"/>
          <w:szCs w:val="24"/>
          <w14:ligatures w14:val="none"/>
        </w:rPr>
        <w:t>-induced accumulation of H3K27me3</w:t>
      </w:r>
    </w:p>
    <w:p w14:paraId="1A88C02F" w14:textId="77777777" w:rsidR="00B50B02" w:rsidRPr="00B50B02" w:rsidRDefault="00B50B02" w:rsidP="00B50B02">
      <w:pPr>
        <w:spacing w:after="0" w:line="48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Because of the many links between SAFB and transcriptional repression, including but not limited to PRC2-mediated silencing </w:t>
      </w:r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(</w:t>
      </w:r>
      <w:hyperlink w:anchor="b81" w:history="1">
        <w:r w:rsidRPr="00B50B02">
          <w:rPr>
            <w:rFonts w:ascii="Times New Roman" w:eastAsia="Times New Roman" w:hAnsi="Times New Roman" w:cs="Times New Roman"/>
            <w:color w:val="FF00FF"/>
            <w:kern w:val="0"/>
            <w:sz w:val="20"/>
            <w:szCs w:val="20"/>
            <w14:ligatures w14:val="none"/>
          </w:rPr>
          <w:t>Townson et al. 2004</w:t>
        </w:r>
      </w:hyperlink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 xml:space="preserve">; </w:t>
      </w:r>
      <w:hyperlink w:anchor="b57" w:history="1">
        <w:r w:rsidRPr="00B50B02">
          <w:rPr>
            <w:rFonts w:ascii="Times New Roman" w:eastAsia="Times New Roman" w:hAnsi="Times New Roman" w:cs="Times New Roman"/>
            <w:color w:val="FF00FF"/>
            <w:kern w:val="0"/>
            <w:sz w:val="20"/>
            <w:szCs w:val="20"/>
            <w14:ligatures w14:val="none"/>
          </w:rPr>
          <w:t>Mukhopadhyay et al. 2014</w:t>
        </w:r>
      </w:hyperlink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 xml:space="preserve">; </w:t>
      </w:r>
      <w:hyperlink w:anchor="b36" w:history="1">
        <w:r w:rsidRPr="00B50B02">
          <w:rPr>
            <w:rFonts w:ascii="Times New Roman" w:eastAsia="Times New Roman" w:hAnsi="Times New Roman" w:cs="Times New Roman"/>
            <w:color w:val="FF00FF"/>
            <w:kern w:val="0"/>
            <w:sz w:val="20"/>
            <w:szCs w:val="20"/>
            <w14:ligatures w14:val="none"/>
          </w:rPr>
          <w:t>Huo et al. 2020</w:t>
        </w:r>
      </w:hyperlink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 xml:space="preserve">; </w:t>
      </w:r>
      <w:hyperlink w:anchor="b54" w:history="1">
        <w:r w:rsidRPr="00B50B02">
          <w:rPr>
            <w:rFonts w:ascii="Times New Roman" w:eastAsia="Times New Roman" w:hAnsi="Times New Roman" w:cs="Times New Roman"/>
            <w:color w:val="FF00FF"/>
            <w:kern w:val="0"/>
            <w:sz w:val="20"/>
            <w:szCs w:val="20"/>
            <w14:ligatures w14:val="none"/>
          </w:rPr>
          <w:t>McCarthy et al. 2021</w:t>
        </w:r>
      </w:hyperlink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)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because SAFB has previously been shown to associate with the lncRNA </w:t>
      </w:r>
      <w:r w:rsidRPr="00B50B02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Xist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(</w:t>
      </w:r>
      <w:hyperlink w:anchor="b15" w:history="1">
        <w:r w:rsidRPr="00B50B02">
          <w:rPr>
            <w:rFonts w:ascii="Times New Roman" w:eastAsia="Times New Roman" w:hAnsi="Times New Roman" w:cs="Times New Roman"/>
            <w:color w:val="FF00FF"/>
            <w:kern w:val="0"/>
            <w:sz w:val="20"/>
            <w:szCs w:val="20"/>
            <w14:ligatures w14:val="none"/>
          </w:rPr>
          <w:t>Chu et al. 2015</w:t>
        </w:r>
      </w:hyperlink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 xml:space="preserve">; </w:t>
      </w:r>
      <w:hyperlink w:anchor="b7" w:history="1">
        <w:proofErr w:type="spellStart"/>
        <w:r w:rsidRPr="00B50B02">
          <w:rPr>
            <w:rFonts w:ascii="Times New Roman" w:eastAsia="Times New Roman" w:hAnsi="Times New Roman" w:cs="Times New Roman"/>
            <w:color w:val="FF00FF"/>
            <w:kern w:val="0"/>
            <w:sz w:val="20"/>
            <w:szCs w:val="20"/>
            <w14:ligatures w14:val="none"/>
          </w:rPr>
          <w:t>Bousard</w:t>
        </w:r>
        <w:proofErr w:type="spellEnd"/>
        <w:r w:rsidRPr="00B50B02">
          <w:rPr>
            <w:rFonts w:ascii="Times New Roman" w:eastAsia="Times New Roman" w:hAnsi="Times New Roman" w:cs="Times New Roman"/>
            <w:color w:val="FF00FF"/>
            <w:kern w:val="0"/>
            <w:sz w:val="20"/>
            <w:szCs w:val="20"/>
            <w14:ligatures w14:val="none"/>
          </w:rPr>
          <w:t xml:space="preserve"> et al. 2019</w:t>
        </w:r>
      </w:hyperlink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)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and because our own RNA-seq data show that many of the genes whose expression changes upon SAFB/2 DKO are regulated by PRC2 in ESCs, we asked whether loss of SAFB/2 in ESCs affected H3K27me3 levels. We performed H3K27me3 </w:t>
      </w:r>
      <w:proofErr w:type="spellStart"/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ChIP</w:t>
      </w:r>
      <w:proofErr w:type="spellEnd"/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-seq in our three WT and two DKO ESC lines, as well as two additional replicate </w:t>
      </w:r>
      <w:proofErr w:type="spellStart"/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ChIPs</w:t>
      </w:r>
      <w:proofErr w:type="spellEnd"/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for our “Parent WT” and “DKO13” lines. We also performed total H3 </w:t>
      </w:r>
      <w:proofErr w:type="spellStart"/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ChIP</w:t>
      </w:r>
      <w:proofErr w:type="spellEnd"/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-seq in two replicates each of the Parent WT and DKO13 ESCs as a control to monitor overall H3 density. Using MACS2 </w:t>
      </w:r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(</w:t>
      </w:r>
      <w:hyperlink w:anchor="b90" w:history="1">
        <w:r w:rsidRPr="00B50B02">
          <w:rPr>
            <w:rFonts w:ascii="Times New Roman" w:eastAsia="Times New Roman" w:hAnsi="Times New Roman" w:cs="Times New Roman"/>
            <w:color w:val="FF00FF"/>
            <w:kern w:val="0"/>
            <w:sz w:val="20"/>
            <w:szCs w:val="20"/>
            <w14:ligatures w14:val="none"/>
          </w:rPr>
          <w:t>Zhang et al. 2008</w:t>
        </w:r>
      </w:hyperlink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)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we identified a total of 57,909 peaks of H3K27me3 in ESCs: 10,898 Peaks were specific to WT ESCs, 18,837 were specific to DKO ESCs, and 28,174 were detected in both genotypes (</w:t>
      </w:r>
      <w:r w:rsidRPr="00B50B02">
        <w:rPr>
          <w:rFonts w:ascii="Times New Roman" w:eastAsia="Times New Roman" w:hAnsi="Times New Roman" w:cs="Times New Roman"/>
          <w:color w:val="FF00FF"/>
          <w:kern w:val="0"/>
          <w:sz w:val="20"/>
          <w:szCs w:val="20"/>
          <w:highlight w:val="yellow"/>
          <w14:ligatures w14:val="none"/>
        </w:rPr>
        <w:t>Supplemental Fig. S1A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). The highest levels of H3K27me3 were found under the peaks that were detected in both WT and DKO cells, and at these peaks, SAFB/2 DKO appeared to result in a slight increase in overall levels of H3K27me3 (</w:t>
      </w:r>
      <w:r w:rsidRPr="00B50B02">
        <w:rPr>
          <w:rFonts w:ascii="Times New Roman" w:eastAsia="Times New Roman" w:hAnsi="Times New Roman" w:cs="Times New Roman"/>
          <w:color w:val="FF00FF"/>
          <w:kern w:val="0"/>
          <w:sz w:val="20"/>
          <w:szCs w:val="20"/>
          <w:highlight w:val="yellow"/>
          <w14:ligatures w14:val="none"/>
        </w:rPr>
        <w:t>Supplemental Fig. S1A,B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; </w:t>
      </w:r>
      <w:r w:rsidRPr="00B50B02">
        <w:rPr>
          <w:rFonts w:ascii="Times New Roman" w:eastAsia="Times New Roman" w:hAnsi="Times New Roman" w:cs="Times New Roman"/>
          <w:color w:val="FF00FF"/>
          <w:kern w:val="0"/>
          <w:sz w:val="20"/>
          <w:szCs w:val="20"/>
          <w:highlight w:val="yellow"/>
          <w14:ligatures w14:val="none"/>
        </w:rPr>
        <w:t>Supplemental Table S8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). The WT- and DKO-specific peaks each harbored lower overall levels of H3K27me3 than the set of shared peaks, and likewise exhibited minor differences between genotypes (</w:t>
      </w:r>
      <w:r w:rsidRPr="00B50B02">
        <w:rPr>
          <w:rFonts w:ascii="Times New Roman" w:eastAsia="Times New Roman" w:hAnsi="Times New Roman" w:cs="Times New Roman"/>
          <w:color w:val="FF00FF"/>
          <w:kern w:val="0"/>
          <w:sz w:val="20"/>
          <w:szCs w:val="20"/>
          <w:highlight w:val="yellow"/>
          <w14:ligatures w14:val="none"/>
        </w:rPr>
        <w:t>Supplemental Fig. S1B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). In parallel, we examined the levels of H3K27me3 at the promoters of genes whose expression changed upon SAFB/2 DKO and found no major differences between gene classes (</w:t>
      </w:r>
      <w:r w:rsidRPr="00B50B02">
        <w:rPr>
          <w:rFonts w:ascii="Times New Roman" w:eastAsia="Times New Roman" w:hAnsi="Times New Roman" w:cs="Times New Roman"/>
          <w:color w:val="FF00FF"/>
          <w:kern w:val="0"/>
          <w:sz w:val="20"/>
          <w:szCs w:val="20"/>
          <w:highlight w:val="yellow"/>
          <w14:ligatures w14:val="none"/>
        </w:rPr>
        <w:t>Supplemental Fig. S1C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). Lastly, our WT and DKO cells are F1-hybrids that express doxycycline-inducible </w:t>
      </w:r>
      <w:r w:rsidRPr="00B50B02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Xist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from the </w:t>
      </w:r>
      <w:r w:rsidRPr="00B50B02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Rosa26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locus on the B6-derived copy of chromosome 6 </w:t>
      </w:r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(</w:t>
      </w:r>
      <w:hyperlink w:anchor="b82" w:history="1">
        <w:r w:rsidRPr="00B50B02">
          <w:rPr>
            <w:rFonts w:ascii="Times New Roman" w:eastAsia="Times New Roman" w:hAnsi="Times New Roman" w:cs="Times New Roman"/>
            <w:color w:val="FF00FF"/>
            <w:kern w:val="0"/>
            <w:sz w:val="20"/>
            <w:szCs w:val="20"/>
            <w14:ligatures w14:val="none"/>
          </w:rPr>
          <w:t>Trotman et al. 2020</w:t>
        </w:r>
      </w:hyperlink>
      <w:r w:rsidRPr="00B50B02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)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We observed no major differences in the accumulation of H3K27me3 on the </w:t>
      </w:r>
      <w:r w:rsidRPr="00B50B0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Xist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-expressing allele in WT versus DKO cells, nor did we observe any defect in gene silencing (</w:t>
      </w:r>
      <w:r w:rsidRPr="00B50B02">
        <w:rPr>
          <w:rFonts w:ascii="Times New Roman" w:eastAsia="Times New Roman" w:hAnsi="Times New Roman" w:cs="Times New Roman"/>
          <w:color w:val="FF00FF"/>
          <w:kern w:val="0"/>
          <w:sz w:val="20"/>
          <w:szCs w:val="20"/>
          <w:highlight w:val="yellow"/>
          <w14:ligatures w14:val="none"/>
        </w:rPr>
        <w:t>Supplemental Fig. S1D,E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; </w:t>
      </w:r>
      <w:r w:rsidRPr="00B50B02">
        <w:rPr>
          <w:rFonts w:ascii="Times New Roman" w:eastAsia="Times New Roman" w:hAnsi="Times New Roman" w:cs="Times New Roman"/>
          <w:color w:val="FF00FF"/>
          <w:kern w:val="0"/>
          <w:sz w:val="20"/>
          <w:szCs w:val="20"/>
          <w:highlight w:val="yellow"/>
          <w14:ligatures w14:val="none"/>
        </w:rPr>
        <w:t>Supplemental Table S9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). Together, our data </w:t>
      </w:r>
      <w:proofErr w:type="gramStart"/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suggest</w:t>
      </w:r>
      <w:proofErr w:type="gramEnd"/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that in mouse ESCs, SAFB is not required for the overall maintenance of H3K27me3, nor is it required for the deposition of </w:t>
      </w:r>
      <w:proofErr w:type="gramStart"/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H3K27me3</w:t>
      </w:r>
      <w:proofErr w:type="gramEnd"/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or gene silencing triggered by the expression of </w:t>
      </w:r>
      <w:r w:rsidRPr="00B50B0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Xist</w:t>
      </w:r>
      <w:r w:rsidRPr="00B50B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However, SAFB/2 loss may moderately affect local levels of H3K27me3 in select genomic regions.</w:t>
      </w:r>
    </w:p>
    <w:p w14:paraId="724D5992" w14:textId="77777777" w:rsidR="00B50B02" w:rsidRDefault="00B50B02"/>
    <w:sectPr w:rsidR="00B50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AEL PRAKASH A." w:date="2023-07-24T10:14:00Z" w:initials="AQ">
    <w:p w14:paraId="0B418F7D" w14:textId="77777777" w:rsidR="00B50B02" w:rsidRDefault="00B50B02" w:rsidP="00B50B02">
      <w:pPr>
        <w:pStyle w:val="CommentText"/>
      </w:pPr>
      <w:r>
        <w:rPr>
          <w:rStyle w:val="CommentReference"/>
        </w:rPr>
        <w:annotationRef/>
      </w:r>
      <w:r>
        <w:t>Please check the heading “</w:t>
      </w:r>
      <w:r w:rsidRPr="007D19DD">
        <w:t>SUPPLEMENTAL NOTE</w:t>
      </w:r>
      <w:r>
        <w:t>” is appropriate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418F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418F7D" w16cid:durableId="2873B4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02"/>
    <w:rsid w:val="00B5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4A4E"/>
  <w15:chartTrackingRefBased/>
  <w15:docId w15:val="{21F1E0D6-0AC4-455B-9B30-2ACF8D04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B50B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50B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B50B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cotter</dc:creator>
  <cp:keywords/>
  <dc:description/>
  <cp:lastModifiedBy>marie cotter</cp:lastModifiedBy>
  <cp:revision>1</cp:revision>
  <dcterms:created xsi:type="dcterms:W3CDTF">2023-08-02T14:53:00Z</dcterms:created>
  <dcterms:modified xsi:type="dcterms:W3CDTF">2023-08-02T14:53:00Z</dcterms:modified>
</cp:coreProperties>
</file>