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22A5" w14:textId="77777777" w:rsidR="00216DF4" w:rsidRPr="00645946" w:rsidRDefault="00216DF4" w:rsidP="00216DF4">
      <w:pPr>
        <w:spacing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5946">
        <w:rPr>
          <w:rFonts w:ascii="Arial" w:hAnsi="Arial" w:cs="Arial"/>
          <w:b/>
          <w:bCs/>
          <w:sz w:val="24"/>
          <w:szCs w:val="24"/>
          <w:u w:val="single"/>
        </w:rPr>
        <w:t>Supplementary Figure Legends</w:t>
      </w:r>
    </w:p>
    <w:p w14:paraId="5E4EDD98" w14:textId="77777777" w:rsidR="00216DF4" w:rsidRPr="007F751C" w:rsidRDefault="00216DF4" w:rsidP="00216DF4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</w:p>
    <w:p w14:paraId="1297FF44" w14:textId="651AE880" w:rsidR="00216DF4" w:rsidRPr="001F15C2" w:rsidRDefault="00216DF4" w:rsidP="00216DF4">
      <w:pPr>
        <w:pStyle w:val="Caption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Figure S1: ASO ISH assay validation on fresh frozen dosed mouse liver using probes against Scrambled sequence (negative control), RNU6 </w:t>
      </w:r>
      <w:r w:rsidR="00972BD8"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(</w:t>
      </w:r>
      <w:r w:rsidR="00972BD8" w:rsidRPr="00AD5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RNA, U6 small nuclear 1) </w:t>
      </w: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universal positive control and </w:t>
      </w:r>
      <w:proofErr w:type="spellStart"/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bepirovirsen</w:t>
      </w:r>
      <w:proofErr w:type="spellEnd"/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.</w:t>
      </w:r>
      <w:r w:rsidR="00A74462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7D5F0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Positive staining is indicated by </w:t>
      </w:r>
      <w:r w:rsidR="005212B9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the presence of Fast red chromogen. </w:t>
      </w:r>
      <w:r w:rsidR="00A74462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Counterstained </w:t>
      </w:r>
      <w:r w:rsidR="00833CED">
        <w:rPr>
          <w:rFonts w:ascii="Arial" w:hAnsi="Arial" w:cs="Arial"/>
          <w:i w:val="0"/>
          <w:iCs w:val="0"/>
          <w:color w:val="auto"/>
          <w:sz w:val="22"/>
          <w:szCs w:val="22"/>
        </w:rPr>
        <w:t>with Hematoxylin to demonstrate general n</w:t>
      </w:r>
      <w:r w:rsidR="00A74462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uclear morphology </w:t>
      </w:r>
      <w:r w:rsidR="00833CED">
        <w:rPr>
          <w:rFonts w:ascii="Arial" w:hAnsi="Arial" w:cs="Arial"/>
          <w:i w:val="0"/>
          <w:iCs w:val="0"/>
          <w:color w:val="auto"/>
          <w:sz w:val="22"/>
          <w:szCs w:val="22"/>
        </w:rPr>
        <w:t>and tissue integrity</w:t>
      </w:r>
      <w:r w:rsidR="00507A8B">
        <w:rPr>
          <w:rFonts w:ascii="Arial" w:hAnsi="Arial" w:cs="Arial"/>
          <w:i w:val="0"/>
          <w:iCs w:val="0"/>
          <w:color w:val="auto"/>
          <w:sz w:val="22"/>
          <w:szCs w:val="22"/>
        </w:rPr>
        <w:t>. Specific</w:t>
      </w:r>
      <w:r w:rsidR="00AE009E">
        <w:rPr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="00507A8B">
        <w:rPr>
          <w:rFonts w:ascii="Arial" w:hAnsi="Arial" w:cs="Arial"/>
          <w:i w:val="0"/>
          <w:iCs w:val="0"/>
          <w:color w:val="auto"/>
          <w:sz w:val="22"/>
          <w:szCs w:val="22"/>
        </w:rPr>
        <w:t>ty of the assay is demonstrated by the absence of any staining with the negative control probe</w:t>
      </w:r>
      <w:r w:rsidR="00AE009E">
        <w:rPr>
          <w:rFonts w:ascii="Arial" w:hAnsi="Arial" w:cs="Arial"/>
          <w:i w:val="0"/>
          <w:iCs w:val="0"/>
          <w:color w:val="auto"/>
          <w:sz w:val="22"/>
          <w:szCs w:val="22"/>
        </w:rPr>
        <w:t>, which also re</w:t>
      </w:r>
      <w:r w:rsidR="004A4E5F">
        <w:rPr>
          <w:rFonts w:ascii="Arial" w:hAnsi="Arial" w:cs="Arial"/>
          <w:i w:val="0"/>
          <w:iCs w:val="0"/>
          <w:color w:val="auto"/>
          <w:sz w:val="22"/>
          <w:szCs w:val="22"/>
        </w:rPr>
        <w:t>vea</w:t>
      </w:r>
      <w:r w:rsidR="00AE009E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ls excellent preservation of nuclear and cellular morphology </w:t>
      </w:r>
      <w:r w:rsidR="004A4E5F">
        <w:rPr>
          <w:rFonts w:ascii="Arial" w:hAnsi="Arial" w:cs="Arial"/>
          <w:i w:val="0"/>
          <w:iCs w:val="0"/>
          <w:color w:val="auto"/>
          <w:sz w:val="22"/>
          <w:szCs w:val="22"/>
        </w:rPr>
        <w:t>under the pre-treatment regime used in these experiments</w:t>
      </w:r>
      <w:r w:rsidR="00E8777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on this tissue.</w:t>
      </w:r>
      <w:r w:rsidR="00507A8B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E87774">
        <w:rPr>
          <w:rFonts w:ascii="Arial" w:hAnsi="Arial" w:cs="Arial"/>
          <w:i w:val="0"/>
          <w:iCs w:val="0"/>
          <w:color w:val="auto"/>
          <w:sz w:val="22"/>
          <w:szCs w:val="22"/>
        </w:rPr>
        <w:t>G</w:t>
      </w:r>
      <w:r w:rsidR="00507A8B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eneral </w:t>
      </w:r>
      <w:r w:rsidR="000D060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RNA </w:t>
      </w:r>
      <w:r w:rsidR="00E87774">
        <w:rPr>
          <w:rFonts w:ascii="Arial" w:hAnsi="Arial" w:cs="Arial"/>
          <w:i w:val="0"/>
          <w:iCs w:val="0"/>
          <w:color w:val="auto"/>
          <w:sz w:val="22"/>
          <w:szCs w:val="22"/>
        </w:rPr>
        <w:t>integrity and preservation</w:t>
      </w:r>
      <w:r w:rsidR="000D060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is confirmed by the ubiquitous </w:t>
      </w:r>
      <w:r w:rsidR="007D5F0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nuclear </w:t>
      </w:r>
      <w:r w:rsidR="000D060F">
        <w:rPr>
          <w:rFonts w:ascii="Arial" w:hAnsi="Arial" w:cs="Arial"/>
          <w:i w:val="0"/>
          <w:iCs w:val="0"/>
          <w:color w:val="auto"/>
          <w:sz w:val="22"/>
          <w:szCs w:val="22"/>
        </w:rPr>
        <w:t>expression of the positive control</w:t>
      </w:r>
      <w:r w:rsidR="007D5F0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probe</w:t>
      </w:r>
      <w:r w:rsidR="005212B9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. </w:t>
      </w:r>
      <w:r w:rsidR="00571A1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Widespread and diffuse distribution of the ASO </w:t>
      </w:r>
      <w:r w:rsidR="005D3D46">
        <w:rPr>
          <w:rFonts w:ascii="Arial" w:hAnsi="Arial" w:cs="Arial"/>
          <w:i w:val="0"/>
          <w:iCs w:val="0"/>
          <w:color w:val="auto"/>
          <w:sz w:val="22"/>
          <w:szCs w:val="22"/>
        </w:rPr>
        <w:t>can be seen throughout the dosed liver</w:t>
      </w:r>
      <w:r w:rsidR="004F4BDE">
        <w:rPr>
          <w:rFonts w:ascii="Arial" w:hAnsi="Arial" w:cs="Arial"/>
          <w:i w:val="0"/>
          <w:iCs w:val="0"/>
          <w:color w:val="auto"/>
          <w:sz w:val="22"/>
          <w:szCs w:val="22"/>
        </w:rPr>
        <w:t>, even at 4mg</w:t>
      </w:r>
      <w:r w:rsidR="004F699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/kg, </w:t>
      </w:r>
      <w:r w:rsidR="004F4BDE">
        <w:rPr>
          <w:rFonts w:ascii="Arial" w:hAnsi="Arial" w:cs="Arial"/>
          <w:i w:val="0"/>
          <w:iCs w:val="0"/>
          <w:color w:val="auto"/>
          <w:sz w:val="22"/>
          <w:szCs w:val="22"/>
        </w:rPr>
        <w:t>the lowest dose administered</w:t>
      </w:r>
      <w:r w:rsidR="004F6997">
        <w:rPr>
          <w:rFonts w:ascii="Arial" w:hAnsi="Arial" w:cs="Arial"/>
          <w:i w:val="0"/>
          <w:iCs w:val="0"/>
          <w:color w:val="auto"/>
          <w:sz w:val="22"/>
          <w:szCs w:val="22"/>
        </w:rPr>
        <w:t>.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Bar = 20 </w:t>
      </w:r>
      <w:r w:rsidRPr="001F15C2">
        <w:rPr>
          <w:rFonts w:ascii="Symbol" w:hAnsi="Symbol" w:cs="Arial"/>
          <w:i w:val="0"/>
          <w:iCs w:val="0"/>
          <w:color w:val="auto"/>
          <w:sz w:val="22"/>
          <w:szCs w:val="22"/>
        </w:rPr>
        <w:t>m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</w:rPr>
        <w:t>m</w:t>
      </w:r>
    </w:p>
    <w:p w14:paraId="25BA2F47" w14:textId="77777777" w:rsidR="00216DF4" w:rsidRPr="001F15C2" w:rsidRDefault="00216DF4" w:rsidP="00645946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72B48371" w14:textId="53E7B438" w:rsidR="00216DF4" w:rsidRPr="001F15C2" w:rsidRDefault="00216DF4" w:rsidP="00216DF4">
      <w:pPr>
        <w:pStyle w:val="Caption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Figure </w:t>
      </w:r>
      <w:r w:rsidR="00A051E0"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</w:t>
      </w:r>
      <w:r w:rsidR="00A051E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2</w:t>
      </w: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: Spontaneous Raman imaging of control and treated (40 mg/kg) female mouse kidneys.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(A and B) Average Raman spectra obtained from control and treated mouse kidney sections at fingerprint and C-H regions, respectively. On panel B, the sum of scores of principal components, PC-2 and PC-3 on the C-H spectra is shown. (C and D) Raman images of control and high dose mouse kidney tissues at the C-H frequency of 2885 cm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  <w:vertAlign w:val="superscript"/>
        </w:rPr>
        <w:t>-1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treated with label free ASOs for 24 hours. (E and F) Ratio of the pixel intensities at the ring breathing vibrational frequency (1307 cm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  <w:vertAlign w:val="superscript"/>
        </w:rPr>
        <w:t>-1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</w:rPr>
        <w:t>/1347 cm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  <w:vertAlign w:val="superscript"/>
        </w:rPr>
        <w:t>-1</w:t>
      </w:r>
      <w:r w:rsidRPr="001F15C2">
        <w:rPr>
          <w:rFonts w:ascii="Arial" w:hAnsi="Arial" w:cs="Arial"/>
          <w:i w:val="0"/>
          <w:iCs w:val="0"/>
          <w:color w:val="auto"/>
          <w:sz w:val="22"/>
          <w:szCs w:val="22"/>
        </w:rPr>
        <w:t>) for the control and high dose mouse kidney samples. (G and H) Sum of the scores of PC-2 and PC-3 for the control and high dosed mouse kidney samples, respectively.</w:t>
      </w:r>
    </w:p>
    <w:p w14:paraId="12237F4A" w14:textId="77777777" w:rsidR="00216DF4" w:rsidRPr="001F15C2" w:rsidRDefault="00216DF4" w:rsidP="00216DF4">
      <w:pPr>
        <w:rPr>
          <w:rFonts w:ascii="Arial" w:hAnsi="Arial" w:cs="Arial"/>
        </w:rPr>
      </w:pPr>
    </w:p>
    <w:p w14:paraId="76D6E976" w14:textId="7AF9BAAE" w:rsidR="00216DF4" w:rsidRPr="001F15C2" w:rsidRDefault="00216DF4" w:rsidP="00216DF4">
      <w:pPr>
        <w:pStyle w:val="Caption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Figure </w:t>
      </w:r>
      <w:r w:rsidR="00A051E0"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</w:t>
      </w:r>
      <w:r w:rsidR="00A051E0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3</w:t>
      </w: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: </w:t>
      </w:r>
      <w:proofErr w:type="spellStart"/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miRNAscope</w:t>
      </w:r>
      <w:proofErr w:type="spellEnd"/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workflow ISH-IHC on FFPE samples using the Leica </w:t>
      </w:r>
      <w:r w:rsidR="003016EE"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BOND </w:t>
      </w:r>
      <w:r w:rsidR="006C2FD8"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RX</w:t>
      </w:r>
      <w:r w:rsidR="003016EE"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automated </w:t>
      </w:r>
      <w:r w:rsidRPr="00AD521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staining platform.</w:t>
      </w:r>
      <w:r w:rsidR="00BC6AC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DB28F6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The co-detection workflow has been optimized </w:t>
      </w:r>
      <w:r w:rsidR="005F0A4B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by the manufacturer </w:t>
      </w:r>
      <w:r w:rsidR="0098550E">
        <w:rPr>
          <w:rFonts w:ascii="Arial" w:hAnsi="Arial" w:cs="Arial"/>
          <w:i w:val="0"/>
          <w:iCs w:val="0"/>
          <w:color w:val="auto"/>
          <w:sz w:val="22"/>
          <w:szCs w:val="22"/>
        </w:rPr>
        <w:t>to enable primary antibod</w:t>
      </w:r>
      <w:r w:rsidR="005F0A4B">
        <w:rPr>
          <w:rFonts w:ascii="Arial" w:hAnsi="Arial" w:cs="Arial"/>
          <w:i w:val="0"/>
          <w:iCs w:val="0"/>
          <w:color w:val="auto"/>
          <w:sz w:val="22"/>
          <w:szCs w:val="22"/>
        </w:rPr>
        <w:t>ies</w:t>
      </w:r>
      <w:r w:rsidR="0098550E">
        <w:rPr>
          <w:rFonts w:ascii="Arial" w:hAnsi="Arial" w:cs="Arial"/>
          <w:i w:val="0"/>
          <w:iCs w:val="0"/>
          <w:color w:val="auto"/>
          <w:sz w:val="22"/>
          <w:szCs w:val="22"/>
        </w:rPr>
        <w:t>, diluted in the AC</w:t>
      </w:r>
      <w:r w:rsidR="00CA0A79">
        <w:rPr>
          <w:rFonts w:ascii="Arial" w:hAnsi="Arial" w:cs="Arial"/>
          <w:i w:val="0"/>
          <w:iCs w:val="0"/>
          <w:color w:val="auto"/>
          <w:sz w:val="22"/>
          <w:szCs w:val="22"/>
        </w:rPr>
        <w:t>D</w:t>
      </w:r>
      <w:r w:rsidR="0098550E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Co-Detection </w:t>
      </w:r>
      <w:r w:rsidR="00CA0A79">
        <w:rPr>
          <w:rFonts w:ascii="Arial" w:hAnsi="Arial" w:cs="Arial"/>
          <w:i w:val="0"/>
          <w:iCs w:val="0"/>
          <w:color w:val="auto"/>
          <w:sz w:val="22"/>
          <w:szCs w:val="22"/>
        </w:rPr>
        <w:t>A</w:t>
      </w:r>
      <w:r w:rsidR="0098550E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ntibody </w:t>
      </w:r>
      <w:r w:rsidR="00CA0A79">
        <w:rPr>
          <w:rFonts w:ascii="Arial" w:hAnsi="Arial" w:cs="Arial"/>
          <w:i w:val="0"/>
          <w:iCs w:val="0"/>
          <w:color w:val="auto"/>
          <w:sz w:val="22"/>
          <w:szCs w:val="22"/>
        </w:rPr>
        <w:t>D</w:t>
      </w:r>
      <w:r w:rsidR="0098550E">
        <w:rPr>
          <w:rFonts w:ascii="Arial" w:hAnsi="Arial" w:cs="Arial"/>
          <w:i w:val="0"/>
          <w:iCs w:val="0"/>
          <w:color w:val="auto"/>
          <w:sz w:val="22"/>
          <w:szCs w:val="22"/>
        </w:rPr>
        <w:t>iluent</w:t>
      </w:r>
      <w:r w:rsidR="00CA0A79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, to bind specifically to </w:t>
      </w:r>
      <w:r w:rsidR="003B6202">
        <w:rPr>
          <w:rFonts w:ascii="Arial" w:hAnsi="Arial" w:cs="Arial"/>
          <w:i w:val="0"/>
          <w:iCs w:val="0"/>
          <w:color w:val="auto"/>
          <w:sz w:val="22"/>
          <w:szCs w:val="22"/>
        </w:rPr>
        <w:t>their target antigens following the heated target retrieval step at pH 9</w:t>
      </w:r>
      <w:r w:rsidR="0072149E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and subsequently post-fixed in 10% Neutral buffered Formalin </w:t>
      </w:r>
      <w:r w:rsidR="0093088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prior to the protease digestion step essential for ISH </w:t>
      </w:r>
      <w:r w:rsidR="005864B0">
        <w:rPr>
          <w:rFonts w:ascii="Arial" w:hAnsi="Arial" w:cs="Arial"/>
          <w:i w:val="0"/>
          <w:iCs w:val="0"/>
          <w:color w:val="auto"/>
          <w:sz w:val="22"/>
          <w:szCs w:val="22"/>
        </w:rPr>
        <w:t>pre-hybridization</w:t>
      </w:r>
      <w:r w:rsidR="006A4C69">
        <w:rPr>
          <w:rFonts w:ascii="Arial" w:hAnsi="Arial" w:cs="Arial"/>
          <w:i w:val="0"/>
          <w:iCs w:val="0"/>
          <w:color w:val="auto"/>
          <w:sz w:val="22"/>
          <w:szCs w:val="22"/>
        </w:rPr>
        <w:t>. Following probe hybridization</w:t>
      </w:r>
      <w:r w:rsidR="003016EE">
        <w:rPr>
          <w:rFonts w:ascii="Arial" w:hAnsi="Arial" w:cs="Arial"/>
          <w:i w:val="0"/>
          <w:iCs w:val="0"/>
          <w:color w:val="auto"/>
          <w:sz w:val="22"/>
          <w:szCs w:val="22"/>
        </w:rPr>
        <w:t>,</w:t>
      </w:r>
      <w:r w:rsidR="006A4C69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3016EE">
        <w:rPr>
          <w:rFonts w:ascii="Arial" w:hAnsi="Arial" w:cs="Arial"/>
          <w:i w:val="0"/>
          <w:iCs w:val="0"/>
          <w:color w:val="auto"/>
          <w:sz w:val="22"/>
          <w:szCs w:val="22"/>
        </w:rPr>
        <w:t>an</w:t>
      </w:r>
      <w:r w:rsidR="006A4C69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FE07A3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amplification tree is </w:t>
      </w:r>
      <w:r w:rsidR="003016EE">
        <w:rPr>
          <w:rFonts w:ascii="Arial" w:hAnsi="Arial" w:cs="Arial"/>
          <w:i w:val="0"/>
          <w:iCs w:val="0"/>
          <w:color w:val="auto"/>
          <w:sz w:val="22"/>
          <w:szCs w:val="22"/>
        </w:rPr>
        <w:t>sequentially</w:t>
      </w:r>
      <w:r w:rsidR="000C0CB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FE07A3">
        <w:rPr>
          <w:rFonts w:ascii="Arial" w:hAnsi="Arial" w:cs="Arial"/>
          <w:i w:val="0"/>
          <w:iCs w:val="0"/>
          <w:color w:val="auto"/>
          <w:sz w:val="22"/>
          <w:szCs w:val="22"/>
        </w:rPr>
        <w:t>built</w:t>
      </w:r>
      <w:r w:rsidR="000C0CB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from the bound probes</w:t>
      </w:r>
      <w:r w:rsidR="00466735">
        <w:rPr>
          <w:rFonts w:ascii="Arial" w:hAnsi="Arial" w:cs="Arial"/>
          <w:i w:val="0"/>
          <w:iCs w:val="0"/>
          <w:color w:val="auto"/>
          <w:sz w:val="22"/>
          <w:szCs w:val="22"/>
        </w:rPr>
        <w:t>,</w:t>
      </w:r>
      <w:r w:rsidR="00FE07A3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and the ASO (or </w:t>
      </w:r>
      <w:r w:rsidR="000B1B5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other </w:t>
      </w:r>
      <w:proofErr w:type="spellStart"/>
      <w:r w:rsidR="000B1B5D">
        <w:rPr>
          <w:rFonts w:ascii="Arial" w:hAnsi="Arial" w:cs="Arial"/>
          <w:i w:val="0"/>
          <w:iCs w:val="0"/>
          <w:color w:val="auto"/>
          <w:sz w:val="22"/>
          <w:szCs w:val="22"/>
        </w:rPr>
        <w:t>miRNAscope</w:t>
      </w:r>
      <w:proofErr w:type="spellEnd"/>
      <w:r w:rsidR="000B1B5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probes</w:t>
      </w:r>
      <w:r w:rsidR="00914C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) are detected with </w:t>
      </w:r>
      <w:r w:rsidR="000B1B5D">
        <w:rPr>
          <w:rFonts w:ascii="Arial" w:hAnsi="Arial" w:cs="Arial"/>
          <w:i w:val="0"/>
          <w:iCs w:val="0"/>
          <w:color w:val="auto"/>
          <w:sz w:val="22"/>
          <w:szCs w:val="22"/>
        </w:rPr>
        <w:t>A</w:t>
      </w:r>
      <w:r w:rsidR="00914C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lkaline </w:t>
      </w:r>
      <w:r w:rsidR="000B1B5D">
        <w:rPr>
          <w:rFonts w:ascii="Arial" w:hAnsi="Arial" w:cs="Arial"/>
          <w:i w:val="0"/>
          <w:iCs w:val="0"/>
          <w:color w:val="auto"/>
          <w:sz w:val="22"/>
          <w:szCs w:val="22"/>
        </w:rPr>
        <w:t>P</w:t>
      </w:r>
      <w:r w:rsidR="00914C0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hosphatase and Fast Red, followed by </w:t>
      </w:r>
      <w:r w:rsidR="002A2BBB">
        <w:rPr>
          <w:rFonts w:ascii="Arial" w:hAnsi="Arial" w:cs="Arial"/>
          <w:i w:val="0"/>
          <w:iCs w:val="0"/>
          <w:color w:val="auto"/>
          <w:sz w:val="22"/>
          <w:szCs w:val="22"/>
        </w:rPr>
        <w:t>a Horse</w:t>
      </w:r>
      <w:r w:rsidR="00470786">
        <w:rPr>
          <w:rFonts w:ascii="Arial" w:hAnsi="Arial" w:cs="Arial"/>
          <w:i w:val="0"/>
          <w:iCs w:val="0"/>
          <w:color w:val="auto"/>
          <w:sz w:val="22"/>
          <w:szCs w:val="22"/>
        </w:rPr>
        <w:t>r</w:t>
      </w:r>
      <w:r w:rsidR="002A2BBB">
        <w:rPr>
          <w:rFonts w:ascii="Arial" w:hAnsi="Arial" w:cs="Arial"/>
          <w:i w:val="0"/>
          <w:iCs w:val="0"/>
          <w:color w:val="auto"/>
          <w:sz w:val="22"/>
          <w:szCs w:val="22"/>
        </w:rPr>
        <w:t>adish Peroxidase</w:t>
      </w:r>
      <w:r w:rsidR="00470786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577D67">
        <w:rPr>
          <w:rFonts w:ascii="Arial" w:hAnsi="Arial" w:cs="Arial"/>
          <w:i w:val="0"/>
          <w:iCs w:val="0"/>
          <w:color w:val="auto"/>
          <w:sz w:val="22"/>
          <w:szCs w:val="22"/>
        </w:rPr>
        <w:t>catalyzed</w:t>
      </w:r>
      <w:r w:rsidR="00470786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detection</w:t>
      </w:r>
      <w:r w:rsidR="007E2C5A">
        <w:rPr>
          <w:rFonts w:ascii="Arial" w:hAnsi="Arial" w:cs="Arial"/>
          <w:i w:val="0"/>
          <w:iCs w:val="0"/>
          <w:color w:val="auto"/>
          <w:sz w:val="22"/>
          <w:szCs w:val="22"/>
        </w:rPr>
        <w:t>,</w:t>
      </w:r>
      <w:r w:rsidR="00470786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7E2C5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offline, </w:t>
      </w:r>
      <w:r w:rsidR="00470786">
        <w:rPr>
          <w:rFonts w:ascii="Arial" w:hAnsi="Arial" w:cs="Arial"/>
          <w:i w:val="0"/>
          <w:iCs w:val="0"/>
          <w:color w:val="auto"/>
          <w:sz w:val="22"/>
          <w:szCs w:val="22"/>
        </w:rPr>
        <w:t>of the target proteins</w:t>
      </w:r>
      <w:r w:rsidR="00577D6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with </w:t>
      </w:r>
      <w:r w:rsidR="007E2C5A">
        <w:rPr>
          <w:rFonts w:ascii="Arial" w:hAnsi="Arial" w:cs="Arial"/>
          <w:i w:val="0"/>
          <w:iCs w:val="0"/>
          <w:color w:val="auto"/>
          <w:sz w:val="22"/>
          <w:szCs w:val="22"/>
        </w:rPr>
        <w:t>the Leica Green HRP chromogen</w:t>
      </w:r>
      <w:r w:rsidR="00BD63BE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and </w:t>
      </w:r>
      <w:r w:rsidR="00D65570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nuclei </w:t>
      </w:r>
      <w:r w:rsidR="00BD63BE">
        <w:rPr>
          <w:rFonts w:ascii="Arial" w:hAnsi="Arial" w:cs="Arial"/>
          <w:i w:val="0"/>
          <w:iCs w:val="0"/>
          <w:color w:val="auto"/>
          <w:sz w:val="22"/>
          <w:szCs w:val="22"/>
        </w:rPr>
        <w:t>counterstained with half-strength Gil</w:t>
      </w:r>
      <w:r w:rsidR="00D65570">
        <w:rPr>
          <w:rFonts w:ascii="Arial" w:hAnsi="Arial" w:cs="Arial"/>
          <w:i w:val="0"/>
          <w:iCs w:val="0"/>
          <w:color w:val="auto"/>
          <w:sz w:val="22"/>
          <w:szCs w:val="22"/>
        </w:rPr>
        <w:t>l’s I Hematoxylin.</w:t>
      </w:r>
    </w:p>
    <w:p w14:paraId="2DC73AD2" w14:textId="77777777" w:rsidR="00216DF4" w:rsidRPr="001F15C2" w:rsidRDefault="00216DF4" w:rsidP="00216DF4">
      <w:pPr>
        <w:pStyle w:val="Caption"/>
        <w:rPr>
          <w:rFonts w:ascii="Arial" w:hAnsi="Arial" w:cs="Arial"/>
          <w:i w:val="0"/>
          <w:iCs w:val="0"/>
          <w:noProof/>
          <w:color w:val="auto"/>
          <w:sz w:val="22"/>
          <w:szCs w:val="22"/>
        </w:rPr>
      </w:pPr>
    </w:p>
    <w:p w14:paraId="2D3F4C3A" w14:textId="217C23A0" w:rsidR="00E9535A" w:rsidRDefault="00216DF4" w:rsidP="00AD521F">
      <w:pPr>
        <w:jc w:val="both"/>
      </w:pPr>
      <w:r w:rsidRPr="00AD521F">
        <w:rPr>
          <w:rFonts w:ascii="Arial" w:hAnsi="Arial" w:cs="Arial"/>
          <w:b/>
          <w:bCs/>
        </w:rPr>
        <w:t xml:space="preserve">Figure </w:t>
      </w:r>
      <w:r w:rsidR="00A051E0" w:rsidRPr="00AD521F">
        <w:rPr>
          <w:rFonts w:ascii="Arial" w:hAnsi="Arial" w:cs="Arial"/>
          <w:b/>
          <w:bCs/>
        </w:rPr>
        <w:t>S</w:t>
      </w:r>
      <w:r w:rsidR="00A051E0">
        <w:rPr>
          <w:rFonts w:ascii="Arial" w:hAnsi="Arial" w:cs="Arial"/>
          <w:b/>
          <w:bCs/>
        </w:rPr>
        <w:t>4</w:t>
      </w:r>
      <w:r w:rsidRPr="00AD521F">
        <w:rPr>
          <w:rFonts w:ascii="Arial" w:hAnsi="Arial" w:cs="Arial"/>
          <w:b/>
          <w:bCs/>
        </w:rPr>
        <w:t xml:space="preserve">: ISH-IHC </w:t>
      </w:r>
      <w:r w:rsidR="00A76F77" w:rsidRPr="00AD521F">
        <w:rPr>
          <w:rFonts w:ascii="Arial" w:hAnsi="Arial" w:cs="Arial"/>
          <w:b/>
          <w:bCs/>
        </w:rPr>
        <w:t xml:space="preserve">co-detection of ASO and </w:t>
      </w:r>
      <w:r w:rsidR="007102EC" w:rsidRPr="00AD521F">
        <w:rPr>
          <w:rFonts w:ascii="Arial" w:hAnsi="Arial" w:cs="Arial"/>
          <w:b/>
          <w:bCs/>
        </w:rPr>
        <w:t xml:space="preserve">Calbindin </w:t>
      </w:r>
      <w:r w:rsidRPr="00AD521F">
        <w:rPr>
          <w:rFonts w:ascii="Arial" w:hAnsi="Arial" w:cs="Arial"/>
          <w:b/>
          <w:bCs/>
        </w:rPr>
        <w:t>in FFPE 12 mg/kg dosed kidney</w:t>
      </w:r>
      <w:r w:rsidR="00575289">
        <w:rPr>
          <w:rFonts w:ascii="Arial" w:hAnsi="Arial" w:cs="Arial"/>
        </w:rPr>
        <w:t>.</w:t>
      </w:r>
      <w:r w:rsidRPr="001F15C2">
        <w:rPr>
          <w:rFonts w:ascii="Arial" w:hAnsi="Arial" w:cs="Arial"/>
        </w:rPr>
        <w:t xml:space="preserve"> ASO distribution (red) primarily in proximal convoluted tubules (</w:t>
      </w:r>
      <w:proofErr w:type="spellStart"/>
      <w:r w:rsidRPr="001F15C2">
        <w:rPr>
          <w:rFonts w:ascii="Arial" w:hAnsi="Arial" w:cs="Arial"/>
        </w:rPr>
        <w:t>px</w:t>
      </w:r>
      <w:proofErr w:type="spellEnd"/>
      <w:r w:rsidRPr="001F15C2">
        <w:rPr>
          <w:rFonts w:ascii="Arial" w:hAnsi="Arial" w:cs="Arial"/>
        </w:rPr>
        <w:t xml:space="preserve">) and parietal cells of the glomerular tuft within the Bowman’s capsule (*), with </w:t>
      </w:r>
      <w:r w:rsidR="00503A3E">
        <w:rPr>
          <w:rFonts w:ascii="Arial" w:hAnsi="Arial" w:cs="Arial"/>
        </w:rPr>
        <w:t>lower but still detectable distribution</w:t>
      </w:r>
      <w:r w:rsidRPr="001F15C2">
        <w:rPr>
          <w:rFonts w:ascii="Arial" w:hAnsi="Arial" w:cs="Arial"/>
        </w:rPr>
        <w:t xml:space="preserve"> in Calbindin-positive distal convoluted tubule</w:t>
      </w:r>
      <w:r w:rsidR="002D5A3B">
        <w:rPr>
          <w:rFonts w:ascii="Arial" w:hAnsi="Arial" w:cs="Arial"/>
        </w:rPr>
        <w:t>s</w:t>
      </w:r>
      <w:r w:rsidRPr="001F15C2">
        <w:rPr>
          <w:rFonts w:ascii="Arial" w:hAnsi="Arial" w:cs="Arial"/>
        </w:rPr>
        <w:t xml:space="preserve"> (di) in green. Bar = 20 </w:t>
      </w:r>
      <w:r w:rsidRPr="001F15C2">
        <w:rPr>
          <w:rFonts w:ascii="Symbol" w:hAnsi="Symbol" w:cs="Arial"/>
        </w:rPr>
        <w:t>m</w:t>
      </w:r>
      <w:r w:rsidRPr="001F15C2">
        <w:rPr>
          <w:rFonts w:ascii="Arial" w:hAnsi="Arial" w:cs="Arial"/>
        </w:rPr>
        <w:t>m</w:t>
      </w:r>
    </w:p>
    <w:sectPr w:rsidR="00E953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8CB8" w14:textId="77777777" w:rsidR="003604F3" w:rsidRDefault="003604F3">
      <w:pPr>
        <w:spacing w:after="0" w:line="240" w:lineRule="auto"/>
      </w:pPr>
      <w:r>
        <w:separator/>
      </w:r>
    </w:p>
  </w:endnote>
  <w:endnote w:type="continuationSeparator" w:id="0">
    <w:p w14:paraId="32B3F915" w14:textId="77777777" w:rsidR="003604F3" w:rsidRDefault="0036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2582" w14:textId="77777777" w:rsidR="003604F3" w:rsidRDefault="003604F3">
      <w:pPr>
        <w:spacing w:after="0" w:line="240" w:lineRule="auto"/>
      </w:pPr>
      <w:r>
        <w:separator/>
      </w:r>
    </w:p>
  </w:footnote>
  <w:footnote w:type="continuationSeparator" w:id="0">
    <w:p w14:paraId="21D7C0D1" w14:textId="77777777" w:rsidR="003604F3" w:rsidRDefault="0036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837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AD2F67" w14:textId="77777777" w:rsidR="00AB553F" w:rsidRDefault="00216DF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04C73" w14:textId="77777777" w:rsidR="00AB553F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F4"/>
    <w:rsid w:val="000B1B5D"/>
    <w:rsid w:val="000C0CBF"/>
    <w:rsid w:val="000D060F"/>
    <w:rsid w:val="00216DF4"/>
    <w:rsid w:val="002A2BBB"/>
    <w:rsid w:val="002D5A3B"/>
    <w:rsid w:val="003016EE"/>
    <w:rsid w:val="003604F3"/>
    <w:rsid w:val="003B6202"/>
    <w:rsid w:val="00466735"/>
    <w:rsid w:val="00470786"/>
    <w:rsid w:val="004A4E5F"/>
    <w:rsid w:val="004F4BDE"/>
    <w:rsid w:val="004F6997"/>
    <w:rsid w:val="00503A3E"/>
    <w:rsid w:val="00506061"/>
    <w:rsid w:val="00507A8B"/>
    <w:rsid w:val="005212B9"/>
    <w:rsid w:val="00571A18"/>
    <w:rsid w:val="00575289"/>
    <w:rsid w:val="00577183"/>
    <w:rsid w:val="00577D67"/>
    <w:rsid w:val="005864B0"/>
    <w:rsid w:val="005C6150"/>
    <w:rsid w:val="005D3D46"/>
    <w:rsid w:val="005F0A4B"/>
    <w:rsid w:val="0060491D"/>
    <w:rsid w:val="00645946"/>
    <w:rsid w:val="00645FDD"/>
    <w:rsid w:val="006A4C69"/>
    <w:rsid w:val="006C2FD8"/>
    <w:rsid w:val="006C5ED1"/>
    <w:rsid w:val="007102EC"/>
    <w:rsid w:val="0072149E"/>
    <w:rsid w:val="00751B9A"/>
    <w:rsid w:val="007D5F04"/>
    <w:rsid w:val="007E2C5A"/>
    <w:rsid w:val="00833CED"/>
    <w:rsid w:val="008B48D7"/>
    <w:rsid w:val="008D0E8A"/>
    <w:rsid w:val="00914C0A"/>
    <w:rsid w:val="00930884"/>
    <w:rsid w:val="00955A24"/>
    <w:rsid w:val="00972BD8"/>
    <w:rsid w:val="0098550E"/>
    <w:rsid w:val="00A051E0"/>
    <w:rsid w:val="00A71504"/>
    <w:rsid w:val="00A74462"/>
    <w:rsid w:val="00A76F77"/>
    <w:rsid w:val="00AD521F"/>
    <w:rsid w:val="00AE009E"/>
    <w:rsid w:val="00B74971"/>
    <w:rsid w:val="00BC6AC8"/>
    <w:rsid w:val="00BD63BE"/>
    <w:rsid w:val="00BE6DFF"/>
    <w:rsid w:val="00CA0A79"/>
    <w:rsid w:val="00D42C2C"/>
    <w:rsid w:val="00D65570"/>
    <w:rsid w:val="00DB28F6"/>
    <w:rsid w:val="00DE7FBA"/>
    <w:rsid w:val="00DF427F"/>
    <w:rsid w:val="00E87774"/>
    <w:rsid w:val="00E9535A"/>
    <w:rsid w:val="00F15F5F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3C51"/>
  <w15:chartTrackingRefBased/>
  <w15:docId w15:val="{B11BBB03-80A8-44B0-8B49-4AD088A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16D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D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F4"/>
    <w:rPr>
      <w:lang w:val="en-US"/>
    </w:rPr>
  </w:style>
  <w:style w:type="paragraph" w:styleId="Revision">
    <w:name w:val="Revision"/>
    <w:hidden/>
    <w:uiPriority w:val="99"/>
    <w:semiHidden/>
    <w:rsid w:val="00B749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E6BFC-8DE5-4F81-B097-3FCBDBB2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Spencer-Dene</dc:creator>
  <cp:keywords/>
  <dc:description/>
  <cp:lastModifiedBy>Bradley Spencer-Dene</cp:lastModifiedBy>
  <cp:revision>3</cp:revision>
  <dcterms:created xsi:type="dcterms:W3CDTF">2023-06-27T11:47:00Z</dcterms:created>
  <dcterms:modified xsi:type="dcterms:W3CDTF">2023-06-27T12:13:00Z</dcterms:modified>
</cp:coreProperties>
</file>