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AD72A" w14:textId="77777777" w:rsidR="008F0FFD" w:rsidRPr="00061DA1" w:rsidRDefault="008F0FFD" w:rsidP="008F0FFD">
      <w:pPr>
        <w:spacing w:line="480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</w:pPr>
      <w:r w:rsidRPr="00061DA1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Supplemental Material</w:t>
      </w:r>
    </w:p>
    <w:p w14:paraId="085D3BE8" w14:textId="77777777" w:rsidR="008F0FFD" w:rsidRPr="00061DA1" w:rsidRDefault="008F0FFD" w:rsidP="008F0FFD">
      <w:pPr>
        <w:spacing w:line="480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</w:pPr>
      <w:r w:rsidRPr="00061DA1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Supplemental Fig S1. The analysis of lentivirus-infected HEK293T cells, MEFs and embryos</w:t>
      </w:r>
    </w:p>
    <w:p w14:paraId="7BCFD7FE" w14:textId="77777777" w:rsidR="008F0FFD" w:rsidRPr="00061DA1" w:rsidRDefault="008F0FFD" w:rsidP="008F0FFD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061DA1">
        <w:rPr>
          <w:rFonts w:ascii="Arial" w:hAnsi="Arial" w:cs="Arial"/>
          <w:color w:val="000000" w:themeColor="text1"/>
          <w:sz w:val="22"/>
          <w:szCs w:val="22"/>
          <w:lang w:val="en-US"/>
        </w:rPr>
        <w:t>Bright-field and GFP microscopy images of lentivirus-infected HEK293T cells expressing NeonGreen-ADAR1p150 WT (top panels) and NeonGreen-ADAR1</w:t>
      </w:r>
      <w:r w:rsidRPr="00061DA1">
        <w:rPr>
          <w:rFonts w:ascii="Arial" w:hAnsi="Arial" w:cs="Arial"/>
          <w:color w:val="000000" w:themeColor="text1"/>
          <w:sz w:val="22"/>
          <w:szCs w:val="22"/>
          <w:vertAlign w:val="superscript"/>
          <w:lang w:val="en-US"/>
        </w:rPr>
        <w:t>L196C</w:t>
      </w:r>
      <w:r w:rsidRPr="00F86383">
        <w:rPr>
          <w:rFonts w:ascii="Arial" w:hAnsi="Arial" w:cs="Arial"/>
          <w:i/>
          <w:iCs/>
          <w:color w:val="000000" w:themeColor="text1"/>
          <w:sz w:val="22"/>
          <w:szCs w:val="22"/>
          <w:vertAlign w:val="superscript"/>
          <w:lang w:val="en-US"/>
        </w:rPr>
        <w:t>fs</w:t>
      </w:r>
      <w:r w:rsidRPr="00F86383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 </w:t>
      </w:r>
      <w:r w:rsidRPr="00061DA1">
        <w:rPr>
          <w:rFonts w:ascii="Arial" w:hAnsi="Arial" w:cs="Arial"/>
          <w:color w:val="000000" w:themeColor="text1"/>
          <w:sz w:val="22"/>
          <w:szCs w:val="22"/>
          <w:lang w:val="en-US"/>
        </w:rPr>
        <w:t>(bottom panels). The scale bar represents 50</w:t>
      </w:r>
      <w:r w:rsidRPr="00061DA1">
        <w:rPr>
          <w:rFonts w:ascii="Arial" w:hAnsi="Arial" w:cs="Arial"/>
          <w:color w:val="000000" w:themeColor="text1"/>
          <w:sz w:val="22"/>
          <w:szCs w:val="22"/>
          <w:lang w:val="en-US"/>
        </w:rPr>
        <w:sym w:font="Symbol" w:char="F06D"/>
      </w:r>
      <w:r w:rsidRPr="00061DA1">
        <w:rPr>
          <w:rFonts w:ascii="Arial" w:hAnsi="Arial" w:cs="Arial"/>
          <w:color w:val="000000" w:themeColor="text1"/>
          <w:sz w:val="22"/>
          <w:szCs w:val="22"/>
          <w:lang w:val="en-US"/>
        </w:rPr>
        <w:t>m.</w:t>
      </w:r>
    </w:p>
    <w:p w14:paraId="6F9E2B9F" w14:textId="77777777" w:rsidR="008F0FFD" w:rsidRPr="00061DA1" w:rsidRDefault="008F0FFD" w:rsidP="008F0FFD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061DA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Western blot analysis of </w:t>
      </w:r>
      <w:proofErr w:type="spellStart"/>
      <w:r w:rsidRPr="00061DA1">
        <w:rPr>
          <w:rFonts w:ascii="Arial" w:hAnsi="Arial" w:cs="Arial"/>
          <w:color w:val="000000" w:themeColor="text1"/>
          <w:sz w:val="22"/>
          <w:szCs w:val="22"/>
          <w:lang w:val="en-US"/>
        </w:rPr>
        <w:t>NeonGreen</w:t>
      </w:r>
      <w:proofErr w:type="spellEnd"/>
      <w:r w:rsidRPr="00061DA1">
        <w:rPr>
          <w:rFonts w:ascii="Arial" w:hAnsi="Arial" w:cs="Arial"/>
          <w:color w:val="000000" w:themeColor="text1"/>
          <w:sz w:val="22"/>
          <w:szCs w:val="22"/>
          <w:lang w:val="en-US"/>
        </w:rPr>
        <w:t>, ADAR1 and ACTIN expression from uninfected HEK293T cells, lentivirus-infected HEK293T cells expressing NeonGreen-ADAR1p150 WT or NeonGreen-ADAR1</w:t>
      </w:r>
      <w:r w:rsidRPr="00061DA1">
        <w:rPr>
          <w:rFonts w:ascii="Arial" w:hAnsi="Arial" w:cs="Arial"/>
          <w:color w:val="000000" w:themeColor="text1"/>
          <w:sz w:val="22"/>
          <w:szCs w:val="22"/>
          <w:vertAlign w:val="superscript"/>
          <w:lang w:val="en-US"/>
        </w:rPr>
        <w:t>L196C</w:t>
      </w:r>
      <w:r w:rsidRPr="008478F5">
        <w:rPr>
          <w:rFonts w:ascii="Arial" w:hAnsi="Arial" w:cs="Arial"/>
          <w:i/>
          <w:iCs/>
          <w:color w:val="000000" w:themeColor="text1"/>
          <w:sz w:val="22"/>
          <w:szCs w:val="22"/>
          <w:vertAlign w:val="superscript"/>
          <w:lang w:val="en-US"/>
        </w:rPr>
        <w:t>fs</w:t>
      </w:r>
      <w:r w:rsidRPr="00061DA1">
        <w:rPr>
          <w:rFonts w:ascii="Arial" w:hAnsi="Arial" w:cs="Arial"/>
          <w:color w:val="000000" w:themeColor="text1"/>
          <w:sz w:val="22"/>
          <w:szCs w:val="22"/>
          <w:lang w:val="en-US"/>
        </w:rPr>
        <w:t>. The predicted fusion protein of NeonGreen-ADAR1p150 WT is ~178kDa, and NeonGreen-ADAR1L196C</w:t>
      </w:r>
      <w:r w:rsidRPr="00F86383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fs</w:t>
      </w:r>
      <w:r w:rsidRPr="009E3F88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061DA1">
        <w:rPr>
          <w:rFonts w:ascii="Arial" w:hAnsi="Arial" w:cs="Arial"/>
          <w:color w:val="000000" w:themeColor="text1"/>
          <w:sz w:val="22"/>
          <w:szCs w:val="22"/>
          <w:lang w:val="en-US"/>
        </w:rPr>
        <w:t>is ~50kDa.</w:t>
      </w:r>
    </w:p>
    <w:p w14:paraId="21FC78D0" w14:textId="77777777" w:rsidR="008F0FFD" w:rsidRPr="00061DA1" w:rsidRDefault="008F0FFD" w:rsidP="008F0FFD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061DA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Western blot analysis of </w:t>
      </w:r>
      <w:r w:rsidRPr="00061DA1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Adar1</w:t>
      </w:r>
      <w:r w:rsidRPr="00061DA1">
        <w:rPr>
          <w:rFonts w:ascii="Arial" w:hAnsi="Arial" w:cs="Arial"/>
          <w:i/>
          <w:iCs/>
          <w:color w:val="000000" w:themeColor="text1"/>
          <w:sz w:val="22"/>
          <w:szCs w:val="22"/>
          <w:vertAlign w:val="superscript"/>
          <w:lang w:val="en-US"/>
        </w:rPr>
        <w:t>+/+</w:t>
      </w:r>
      <w:r w:rsidRPr="00061DA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and </w:t>
      </w:r>
      <w:r w:rsidRPr="00061DA1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Adar1p150</w:t>
      </w:r>
      <w:r w:rsidRPr="00061DA1">
        <w:rPr>
          <w:rFonts w:ascii="Arial" w:hAnsi="Arial" w:cs="Arial"/>
          <w:i/>
          <w:iCs/>
          <w:color w:val="000000" w:themeColor="text1"/>
          <w:sz w:val="22"/>
          <w:szCs w:val="22"/>
          <w:vertAlign w:val="superscript"/>
          <w:lang w:val="en-US"/>
        </w:rPr>
        <w:t>-/-</w:t>
      </w:r>
      <w:r w:rsidRPr="00061DA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MEFs generated from 3 independent mice of each genotype with and without 24 hours IFN</w:t>
      </w:r>
      <w:r w:rsidRPr="00061DA1">
        <w:rPr>
          <w:rFonts w:ascii="Arial" w:hAnsi="Arial" w:cs="Arial"/>
          <w:color w:val="000000" w:themeColor="text1"/>
          <w:sz w:val="22"/>
          <w:szCs w:val="22"/>
          <w:lang w:val="en-US"/>
        </w:rPr>
        <w:sym w:font="Symbol" w:char="F062"/>
      </w:r>
      <w:r w:rsidRPr="00061DA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treatment. The relative expression of p110 is presented in Fig 1F.</w:t>
      </w:r>
    </w:p>
    <w:p w14:paraId="6DB37563" w14:textId="77777777" w:rsidR="008F0FFD" w:rsidRPr="00061DA1" w:rsidRDefault="008F0FFD" w:rsidP="008F0FFD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061DA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Expression of the interferon-stimulated genes (ISGs) </w:t>
      </w:r>
      <w:r w:rsidRPr="00061DA1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Ifit1</w:t>
      </w:r>
      <w:r w:rsidRPr="00061DA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and </w:t>
      </w:r>
      <w:r w:rsidRPr="00061DA1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Irf7 </w:t>
      </w:r>
      <w:r w:rsidRPr="00061DA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in the heads of </w:t>
      </w:r>
      <w:r w:rsidRPr="00061DA1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Adar1p150</w:t>
      </w:r>
      <w:r w:rsidRPr="00061DA1">
        <w:rPr>
          <w:rFonts w:ascii="Arial" w:hAnsi="Arial" w:cs="Arial"/>
          <w:i/>
          <w:iCs/>
          <w:color w:val="000000" w:themeColor="text1"/>
          <w:sz w:val="22"/>
          <w:szCs w:val="22"/>
          <w:vertAlign w:val="superscript"/>
          <w:lang w:val="en-US"/>
        </w:rPr>
        <w:t>-/-</w:t>
      </w:r>
      <w:r w:rsidRPr="00061DA1">
        <w:rPr>
          <w:rFonts w:ascii="Arial" w:hAnsi="Arial" w:cs="Arial"/>
          <w:color w:val="000000" w:themeColor="text1"/>
          <w:sz w:val="22"/>
          <w:szCs w:val="22"/>
          <w:vertAlign w:val="superscript"/>
          <w:lang w:val="en-US"/>
        </w:rPr>
        <w:t xml:space="preserve"> </w:t>
      </w:r>
      <w:r w:rsidRPr="00061DA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embryos at E11.5 and E12.5. Data expressed as mean +/- SEM gene expression relative to </w:t>
      </w:r>
      <w:proofErr w:type="spellStart"/>
      <w:r w:rsidRPr="00061DA1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Ppia</w:t>
      </w:r>
      <w:proofErr w:type="spellEnd"/>
      <w:r w:rsidRPr="00061DA1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 </w:t>
      </w:r>
      <w:r w:rsidRPr="00061DA1">
        <w:rPr>
          <w:rFonts w:ascii="Arial" w:hAnsi="Arial" w:cs="Arial"/>
          <w:color w:val="000000" w:themeColor="text1"/>
          <w:sz w:val="22"/>
          <w:szCs w:val="22"/>
          <w:lang w:val="en-US"/>
        </w:rPr>
        <w:t>expression. Three independent embryo samples were used for each indicated genotype. Significance was determined by one-way ANOVA tests with Dunnett’s multiple comparisons with statistical significance of ***P &lt;0.001 and ****P &lt;0.0001. Error bars are SEM.</w:t>
      </w:r>
    </w:p>
    <w:p w14:paraId="18AB4F27" w14:textId="77777777" w:rsidR="008F0FFD" w:rsidRPr="00061DA1" w:rsidRDefault="008F0FFD" w:rsidP="008F0FFD">
      <w:pPr>
        <w:spacing w:line="48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</w:pPr>
    </w:p>
    <w:p w14:paraId="7F084C21" w14:textId="77777777" w:rsidR="008F0FFD" w:rsidRPr="00061DA1" w:rsidRDefault="008F0FFD" w:rsidP="008F0FFD">
      <w:pPr>
        <w:spacing w:line="48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</w:pPr>
      <w:r w:rsidRPr="00061DA1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Supplemental Fig S2. Cell counts and hematopoietic stem cell populations in peripheral blood (PB), bone marrow (BM), spleen and thymus of the somatic mouse models.</w:t>
      </w:r>
    </w:p>
    <w:p w14:paraId="7C5D7A55" w14:textId="77777777" w:rsidR="008F0FFD" w:rsidRPr="00061DA1" w:rsidRDefault="008F0FFD" w:rsidP="008F0FF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061DA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Genotyping of genomic DNA from all animals used in the somatic deletion model and percentage deletion of the </w:t>
      </w:r>
      <w:proofErr w:type="spellStart"/>
      <w:r w:rsidRPr="00061DA1">
        <w:rPr>
          <w:rFonts w:ascii="Arial" w:hAnsi="Arial" w:cs="Arial"/>
          <w:color w:val="000000" w:themeColor="text1"/>
          <w:sz w:val="22"/>
          <w:szCs w:val="22"/>
          <w:lang w:val="en-US"/>
        </w:rPr>
        <w:t>floxed</w:t>
      </w:r>
      <w:proofErr w:type="spellEnd"/>
      <w:r w:rsidRPr="00061DA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allele on the day of euthanasia using DNA isolated from whole BM. </w:t>
      </w:r>
    </w:p>
    <w:p w14:paraId="292B01E5" w14:textId="77777777" w:rsidR="008F0FFD" w:rsidRPr="00061DA1" w:rsidRDefault="008F0FFD" w:rsidP="008F0FF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</w:pPr>
      <w:r w:rsidRPr="00061DA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Total red blood cell (RBC) counts in PB at day 0 (pre-tamoxifen) and day of euthanasia (final). </w:t>
      </w:r>
    </w:p>
    <w:p w14:paraId="71F48122" w14:textId="77777777" w:rsidR="008F0FFD" w:rsidRPr="00061DA1" w:rsidRDefault="008F0FFD" w:rsidP="008F0FFD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proofErr w:type="spellStart"/>
      <w:r w:rsidRPr="00061DA1">
        <w:rPr>
          <w:rFonts w:ascii="Arial" w:hAnsi="Arial" w:cs="Arial"/>
          <w:color w:val="000000" w:themeColor="text1"/>
          <w:sz w:val="22"/>
          <w:szCs w:val="22"/>
          <w:lang w:val="en-US"/>
        </w:rPr>
        <w:lastRenderedPageBreak/>
        <w:t>Haemoglobin</w:t>
      </w:r>
      <w:proofErr w:type="spellEnd"/>
      <w:r w:rsidRPr="00061DA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(HGB) level in PB at day 0 (pre-tamoxifen) and day of euthanasia. </w:t>
      </w:r>
    </w:p>
    <w:p w14:paraId="4C0AF87A" w14:textId="77777777" w:rsidR="008F0FFD" w:rsidRPr="00061DA1" w:rsidRDefault="008F0FFD" w:rsidP="008F0FFD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061DA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Mean corpuscular volume (MCV) of PB at day 0 (pre-tamoxifen) and day of euthanasia. </w:t>
      </w:r>
    </w:p>
    <w:p w14:paraId="5BEB355D" w14:textId="77777777" w:rsidR="008F0FFD" w:rsidRPr="00061DA1" w:rsidRDefault="008F0FFD" w:rsidP="008F0FFD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061DA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Mean corpuscular </w:t>
      </w:r>
      <w:proofErr w:type="spellStart"/>
      <w:r w:rsidRPr="00061DA1">
        <w:rPr>
          <w:rFonts w:ascii="Arial" w:hAnsi="Arial" w:cs="Arial"/>
          <w:color w:val="000000" w:themeColor="text1"/>
          <w:sz w:val="22"/>
          <w:szCs w:val="22"/>
          <w:lang w:val="en-US"/>
        </w:rPr>
        <w:t>haemoglobin</w:t>
      </w:r>
      <w:proofErr w:type="spellEnd"/>
      <w:r w:rsidRPr="00061DA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(MCH) level in PB at day 0 (pre-tamoxifen) and day of euthanasia (final). </w:t>
      </w:r>
    </w:p>
    <w:p w14:paraId="696B10D7" w14:textId="77777777" w:rsidR="008F0FFD" w:rsidRPr="00061DA1" w:rsidRDefault="008F0FFD" w:rsidP="008F0FFD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061DA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The mean corpuscular </w:t>
      </w:r>
      <w:proofErr w:type="spellStart"/>
      <w:r w:rsidRPr="00061DA1">
        <w:rPr>
          <w:rFonts w:ascii="Arial" w:hAnsi="Arial" w:cs="Arial"/>
          <w:color w:val="000000" w:themeColor="text1"/>
          <w:sz w:val="22"/>
          <w:szCs w:val="22"/>
          <w:lang w:val="en-US"/>
        </w:rPr>
        <w:t>haemoglobin</w:t>
      </w:r>
      <w:proofErr w:type="spellEnd"/>
      <w:r w:rsidRPr="00061DA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concentration (MCHC) in PB at day 0 (pre-tamoxifen) and day of euthanasia(final). </w:t>
      </w:r>
    </w:p>
    <w:p w14:paraId="4B720310" w14:textId="77777777" w:rsidR="008F0FFD" w:rsidRPr="00061DA1" w:rsidRDefault="008F0FFD" w:rsidP="008F0FFD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061DA1">
        <w:rPr>
          <w:rFonts w:ascii="Arial" w:eastAsia="Arial" w:hAnsi="Arial" w:cs="Arial"/>
          <w:bCs/>
          <w:color w:val="000000" w:themeColor="text1"/>
          <w:sz w:val="22"/>
          <w:szCs w:val="22"/>
          <w:lang w:val="en-US"/>
        </w:rPr>
        <w:t xml:space="preserve">Differential analysis of leukocyte populations in the BM on the </w:t>
      </w:r>
      <w:r w:rsidRPr="00061DA1">
        <w:rPr>
          <w:rFonts w:ascii="Arial" w:hAnsi="Arial" w:cs="Arial"/>
          <w:color w:val="000000" w:themeColor="text1"/>
          <w:sz w:val="22"/>
          <w:szCs w:val="22"/>
          <w:lang w:val="en-US"/>
        </w:rPr>
        <w:t>day of euthanasia.</w:t>
      </w:r>
    </w:p>
    <w:p w14:paraId="6FEC596C" w14:textId="77777777" w:rsidR="008F0FFD" w:rsidRPr="00061DA1" w:rsidRDefault="008F0FFD" w:rsidP="008F0FFD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061DA1">
        <w:rPr>
          <w:rFonts w:ascii="Arial" w:hAnsi="Arial" w:cs="Arial"/>
          <w:color w:val="000000" w:themeColor="text1"/>
          <w:sz w:val="22"/>
          <w:szCs w:val="22"/>
          <w:lang w:val="en-US"/>
        </w:rPr>
        <w:t>Weights of the spleen.</w:t>
      </w:r>
    </w:p>
    <w:p w14:paraId="592F718E" w14:textId="77777777" w:rsidR="008F0FFD" w:rsidRPr="00061DA1" w:rsidRDefault="008F0FFD" w:rsidP="008F0FFD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061DA1">
        <w:rPr>
          <w:rFonts w:ascii="Arial" w:hAnsi="Arial" w:cs="Arial"/>
          <w:color w:val="000000" w:themeColor="text1"/>
          <w:sz w:val="22"/>
          <w:szCs w:val="22"/>
          <w:lang w:val="en-US"/>
        </w:rPr>
        <w:t>Weights of the thymus.</w:t>
      </w:r>
    </w:p>
    <w:p w14:paraId="0C242F07" w14:textId="77777777" w:rsidR="008F0FFD" w:rsidRPr="00061DA1" w:rsidRDefault="008F0FFD" w:rsidP="008F0FFD">
      <w:pPr>
        <w:spacing w:line="480" w:lineRule="auto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061DA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Statistical tests used were two-way ANOVA with Bonferroni’s multiple comparisons (panels B-G) and unpaired T-test (panels H-I) with statistical significance of *P &lt;0.05; **P &lt;0.01, ***P &lt;0.001, ****P &lt;0.0001. Displayed as mean +/- SEM.  </w:t>
      </w:r>
      <w:r w:rsidRPr="00061DA1">
        <w:rPr>
          <w:i/>
          <w:iCs/>
          <w:color w:val="000000" w:themeColor="text1"/>
          <w:lang w:val="en-US"/>
        </w:rPr>
        <w:sym w:font="Symbol" w:char="F044"/>
      </w:r>
      <w:r w:rsidRPr="00061DA1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/+</w:t>
      </w:r>
      <w:r w:rsidRPr="00061DA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n= 5, </w:t>
      </w:r>
      <w:r w:rsidRPr="00061DA1">
        <w:rPr>
          <w:i/>
          <w:iCs/>
          <w:color w:val="000000" w:themeColor="text1"/>
          <w:lang w:val="en-US"/>
        </w:rPr>
        <w:sym w:font="Symbol" w:char="F044"/>
      </w:r>
      <w:r w:rsidRPr="00061DA1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/p150-</w:t>
      </w:r>
      <w:r w:rsidRPr="00061DA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n=6.</w:t>
      </w:r>
    </w:p>
    <w:p w14:paraId="632CDC3C" w14:textId="77777777" w:rsidR="008F0FFD" w:rsidRPr="00061DA1" w:rsidRDefault="008F0FFD" w:rsidP="008F0FFD">
      <w:pPr>
        <w:spacing w:line="48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4B09C895" w14:textId="77777777" w:rsidR="008F0FFD" w:rsidRPr="00061DA1" w:rsidRDefault="008F0FFD" w:rsidP="008F0FFD">
      <w:pPr>
        <w:spacing w:line="480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</w:pPr>
      <w:r w:rsidRPr="00061DA1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Supplemental Fig S3. Western bot analysis of PKR activation in MEFs and assessment of RNA integrity </w:t>
      </w:r>
    </w:p>
    <w:p w14:paraId="5160CD5A" w14:textId="77777777" w:rsidR="008F0FFD" w:rsidRPr="00061DA1" w:rsidRDefault="008F0FFD" w:rsidP="008F0FFD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061DA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Western blot analysis of </w:t>
      </w:r>
      <w:r w:rsidRPr="00061DA1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Adar1</w:t>
      </w:r>
      <w:r w:rsidRPr="00061DA1">
        <w:rPr>
          <w:rFonts w:ascii="Arial" w:hAnsi="Arial" w:cs="Arial"/>
          <w:i/>
          <w:iCs/>
          <w:color w:val="000000" w:themeColor="text1"/>
          <w:sz w:val="22"/>
          <w:szCs w:val="22"/>
          <w:vertAlign w:val="superscript"/>
          <w:lang w:val="en-US"/>
        </w:rPr>
        <w:t>+/+</w:t>
      </w:r>
      <w:r w:rsidRPr="00061DA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(n=1) and </w:t>
      </w:r>
      <w:r w:rsidRPr="00061DA1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Adar1p150</w:t>
      </w:r>
      <w:r w:rsidRPr="00061DA1">
        <w:rPr>
          <w:rFonts w:ascii="Arial" w:hAnsi="Arial" w:cs="Arial"/>
          <w:i/>
          <w:iCs/>
          <w:color w:val="000000" w:themeColor="text1"/>
          <w:sz w:val="22"/>
          <w:szCs w:val="22"/>
          <w:vertAlign w:val="superscript"/>
          <w:lang w:val="en-US"/>
        </w:rPr>
        <w:t>-/-</w:t>
      </w:r>
      <w:r w:rsidRPr="00061DA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(n=3) MEFs generated from independent mice of each genotype with and without 24 hours IFN</w:t>
      </w:r>
      <w:r w:rsidRPr="00061DA1">
        <w:rPr>
          <w:rFonts w:ascii="Arial" w:hAnsi="Arial" w:cs="Arial"/>
          <w:color w:val="000000" w:themeColor="text1"/>
          <w:sz w:val="22"/>
          <w:szCs w:val="22"/>
          <w:lang w:val="en-US"/>
        </w:rPr>
        <w:sym w:font="Symbol" w:char="F062"/>
      </w:r>
      <w:r w:rsidRPr="00061DA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treatment. All images are from the same gel and re-probed for ADAR1, MDA5, PKR, </w:t>
      </w:r>
      <w:proofErr w:type="spellStart"/>
      <w:r w:rsidRPr="00061DA1">
        <w:rPr>
          <w:rFonts w:ascii="Arial" w:hAnsi="Arial" w:cs="Arial"/>
          <w:color w:val="000000" w:themeColor="text1"/>
          <w:sz w:val="22"/>
          <w:szCs w:val="22"/>
          <w:lang w:val="en-US"/>
        </w:rPr>
        <w:t>phospho</w:t>
      </w:r>
      <w:proofErr w:type="spellEnd"/>
      <w:r w:rsidRPr="00061DA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eIF2</w:t>
      </w:r>
      <w:r w:rsidRPr="00061DA1">
        <w:rPr>
          <w:rFonts w:ascii="Arial" w:hAnsi="Arial" w:cs="Arial"/>
          <w:color w:val="000000" w:themeColor="text1"/>
          <w:sz w:val="22"/>
          <w:szCs w:val="22"/>
          <w:lang w:val="en-US"/>
        </w:rPr>
        <w:sym w:font="Symbol" w:char="F061"/>
      </w:r>
      <w:r w:rsidRPr="00061DA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(p-eIF2</w:t>
      </w:r>
      <w:r w:rsidRPr="00061DA1">
        <w:rPr>
          <w:rFonts w:ascii="Arial" w:hAnsi="Arial" w:cs="Arial"/>
          <w:color w:val="000000" w:themeColor="text1"/>
          <w:sz w:val="22"/>
          <w:szCs w:val="22"/>
          <w:lang w:val="en-US"/>
        </w:rPr>
        <w:sym w:font="Symbol" w:char="F061"/>
      </w:r>
      <w:r w:rsidRPr="00061DA1">
        <w:rPr>
          <w:rFonts w:ascii="Arial" w:hAnsi="Arial" w:cs="Arial"/>
          <w:color w:val="000000" w:themeColor="text1"/>
          <w:sz w:val="22"/>
          <w:szCs w:val="22"/>
          <w:lang w:val="en-US"/>
        </w:rPr>
        <w:t>), total eIF2</w:t>
      </w:r>
      <w:r w:rsidRPr="00061DA1">
        <w:rPr>
          <w:rFonts w:ascii="Arial" w:hAnsi="Arial" w:cs="Arial"/>
          <w:color w:val="000000" w:themeColor="text1"/>
          <w:sz w:val="22"/>
          <w:szCs w:val="22"/>
          <w:lang w:val="en-US"/>
        </w:rPr>
        <w:sym w:font="Symbol" w:char="F061"/>
      </w:r>
      <w:r w:rsidRPr="00061DA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and ACTIN. The images have been cropped and rearranged for presentation. Quantification represents the expression of p-eIF2</w:t>
      </w:r>
      <w:r w:rsidRPr="00061DA1">
        <w:rPr>
          <w:rFonts w:ascii="Arial" w:hAnsi="Arial" w:cs="Arial"/>
          <w:color w:val="000000" w:themeColor="text1"/>
          <w:sz w:val="22"/>
          <w:szCs w:val="22"/>
          <w:lang w:val="en-US"/>
        </w:rPr>
        <w:sym w:font="Symbol" w:char="F061"/>
      </w:r>
      <w:r w:rsidRPr="00061DA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relative to total teIF2</w:t>
      </w:r>
      <w:r w:rsidRPr="00061DA1">
        <w:rPr>
          <w:rFonts w:ascii="Arial" w:hAnsi="Arial" w:cs="Arial"/>
          <w:color w:val="000000" w:themeColor="text1"/>
          <w:sz w:val="22"/>
          <w:szCs w:val="22"/>
          <w:lang w:val="en-US"/>
        </w:rPr>
        <w:sym w:font="Symbol" w:char="F061"/>
      </w:r>
      <w:r w:rsidRPr="00061DA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</w:p>
    <w:p w14:paraId="09B2CBA4" w14:textId="77777777" w:rsidR="008F0FFD" w:rsidRPr="00061DA1" w:rsidRDefault="008F0FFD" w:rsidP="008F0FF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  <w:proofErr w:type="spellStart"/>
      <w:r w:rsidRPr="00061DA1">
        <w:rPr>
          <w:rFonts w:ascii="Arial" w:hAnsi="Arial" w:cs="Arial"/>
          <w:color w:val="000000" w:themeColor="text1"/>
          <w:sz w:val="22"/>
          <w:szCs w:val="22"/>
          <w:lang w:val="en-GB"/>
        </w:rPr>
        <w:t>Labchip</w:t>
      </w:r>
      <w:proofErr w:type="spellEnd"/>
      <w:r w:rsidRPr="00061DA1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(PerkinElmer) analysis of total RNA integrity from mouse whole brain tissue taken on the day of birth of </w:t>
      </w:r>
      <w:r w:rsidRPr="00061DA1">
        <w:rPr>
          <w:rFonts w:ascii="Arial" w:hAnsi="Arial" w:cs="Arial"/>
          <w:i/>
          <w:iCs/>
          <w:color w:val="000000" w:themeColor="text1"/>
          <w:sz w:val="22"/>
          <w:szCs w:val="22"/>
          <w:lang w:val="en-GB"/>
        </w:rPr>
        <w:t>Adar1</w:t>
      </w:r>
      <w:r w:rsidRPr="00061DA1">
        <w:rPr>
          <w:rFonts w:ascii="Arial" w:hAnsi="Arial" w:cs="Arial"/>
          <w:i/>
          <w:iCs/>
          <w:color w:val="000000" w:themeColor="text1"/>
          <w:sz w:val="22"/>
          <w:szCs w:val="22"/>
          <w:vertAlign w:val="superscript"/>
          <w:lang w:val="en-GB"/>
        </w:rPr>
        <w:t>-/-</w:t>
      </w:r>
      <w:r w:rsidRPr="00061DA1">
        <w:rPr>
          <w:rFonts w:ascii="Arial" w:hAnsi="Arial" w:cs="Arial"/>
          <w:i/>
          <w:iCs/>
          <w:color w:val="000000" w:themeColor="text1"/>
          <w:sz w:val="22"/>
          <w:szCs w:val="22"/>
          <w:lang w:val="en-GB"/>
        </w:rPr>
        <w:t>Ifih1</w:t>
      </w:r>
      <w:r w:rsidRPr="00061DA1">
        <w:rPr>
          <w:rFonts w:ascii="Arial" w:hAnsi="Arial" w:cs="Arial"/>
          <w:i/>
          <w:iCs/>
          <w:color w:val="000000" w:themeColor="text1"/>
          <w:sz w:val="22"/>
          <w:szCs w:val="22"/>
          <w:vertAlign w:val="superscript"/>
          <w:lang w:val="en-GB"/>
        </w:rPr>
        <w:t>-/-</w:t>
      </w:r>
      <w:r w:rsidRPr="00061DA1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(lacking ADAR1p150 and ADAR1p110 isoforms) </w:t>
      </w:r>
      <w:r w:rsidRPr="00061DA1">
        <w:rPr>
          <w:rFonts w:ascii="Arial" w:hAnsi="Arial" w:cs="Arial"/>
          <w:i/>
          <w:iCs/>
          <w:color w:val="000000" w:themeColor="text1"/>
          <w:sz w:val="22"/>
          <w:szCs w:val="22"/>
          <w:lang w:val="en-GB"/>
        </w:rPr>
        <w:t>Adar1</w:t>
      </w:r>
      <w:r w:rsidRPr="00061DA1">
        <w:rPr>
          <w:rFonts w:ascii="Arial" w:hAnsi="Arial" w:cs="Arial"/>
          <w:i/>
          <w:iCs/>
          <w:color w:val="000000" w:themeColor="text1"/>
          <w:sz w:val="22"/>
          <w:szCs w:val="22"/>
          <w:vertAlign w:val="superscript"/>
          <w:lang w:val="en-GB"/>
        </w:rPr>
        <w:t>E861A/E861A</w:t>
      </w:r>
      <w:r w:rsidRPr="00061DA1">
        <w:rPr>
          <w:rFonts w:ascii="Arial" w:hAnsi="Arial" w:cs="Arial"/>
          <w:i/>
          <w:iCs/>
          <w:color w:val="000000" w:themeColor="text1"/>
          <w:sz w:val="22"/>
          <w:szCs w:val="22"/>
          <w:lang w:val="en-GB"/>
        </w:rPr>
        <w:t>Ifih1</w:t>
      </w:r>
      <w:r w:rsidRPr="00061DA1">
        <w:rPr>
          <w:rFonts w:ascii="Arial" w:hAnsi="Arial" w:cs="Arial"/>
          <w:i/>
          <w:iCs/>
          <w:color w:val="000000" w:themeColor="text1"/>
          <w:sz w:val="22"/>
          <w:szCs w:val="22"/>
          <w:vertAlign w:val="superscript"/>
          <w:lang w:val="en-GB"/>
        </w:rPr>
        <w:t>-/-</w:t>
      </w:r>
      <w:r w:rsidRPr="00061DA1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(ADAR1 editing-deficient) and </w:t>
      </w:r>
      <w:r w:rsidRPr="00061DA1">
        <w:rPr>
          <w:rFonts w:ascii="Arial" w:hAnsi="Arial" w:cs="Arial"/>
          <w:i/>
          <w:iCs/>
          <w:color w:val="000000" w:themeColor="text1"/>
          <w:sz w:val="22"/>
          <w:szCs w:val="22"/>
          <w:lang w:val="en-GB"/>
        </w:rPr>
        <w:t>Adar1</w:t>
      </w:r>
      <w:r w:rsidRPr="00061DA1">
        <w:rPr>
          <w:rFonts w:ascii="Arial" w:hAnsi="Arial" w:cs="Arial"/>
          <w:i/>
          <w:iCs/>
          <w:color w:val="000000" w:themeColor="text1"/>
          <w:sz w:val="22"/>
          <w:szCs w:val="22"/>
          <w:vertAlign w:val="superscript"/>
          <w:lang w:val="en-GB"/>
        </w:rPr>
        <w:t>+/+</w:t>
      </w:r>
      <w:r w:rsidRPr="00061DA1">
        <w:rPr>
          <w:rFonts w:ascii="Arial" w:hAnsi="Arial" w:cs="Arial"/>
          <w:i/>
          <w:iCs/>
          <w:color w:val="000000" w:themeColor="text1"/>
          <w:sz w:val="22"/>
          <w:szCs w:val="22"/>
          <w:lang w:val="en-GB"/>
        </w:rPr>
        <w:t>Ifih1</w:t>
      </w:r>
      <w:r w:rsidRPr="00061DA1">
        <w:rPr>
          <w:rFonts w:ascii="Arial" w:hAnsi="Arial" w:cs="Arial"/>
          <w:i/>
          <w:iCs/>
          <w:color w:val="000000" w:themeColor="text1"/>
          <w:sz w:val="22"/>
          <w:szCs w:val="22"/>
          <w:vertAlign w:val="superscript"/>
          <w:lang w:val="en-GB"/>
        </w:rPr>
        <w:t>-/-</w:t>
      </w:r>
      <w:r w:rsidRPr="00061DA1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(ADAR1 WT) mice. No difference in RNA integrity or degradation was found between genotypes. </w:t>
      </w:r>
    </w:p>
    <w:p w14:paraId="2B3B132B" w14:textId="77777777" w:rsidR="008F0FFD" w:rsidRPr="00061DA1" w:rsidRDefault="008F0FFD" w:rsidP="008F0FFD">
      <w:pPr>
        <w:spacing w:line="36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061DA1">
        <w:rPr>
          <w:rFonts w:ascii="Arial" w:hAnsi="Arial" w:cs="Arial"/>
          <w:color w:val="000000" w:themeColor="text1"/>
          <w:sz w:val="22"/>
          <w:szCs w:val="22"/>
          <w:lang w:val="en-GB"/>
        </w:rPr>
        <w:t>Quantification of Ribosomal RNA peaks the brain, liver and heart tissues of the indicated genotype from lab chip data.</w:t>
      </w:r>
    </w:p>
    <w:p w14:paraId="145B2221" w14:textId="77777777" w:rsidR="008F0FFD" w:rsidRPr="00061DA1" w:rsidRDefault="008F0FFD" w:rsidP="008F0FFD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</w:pPr>
    </w:p>
    <w:p w14:paraId="0BA019BF" w14:textId="77777777" w:rsidR="0081146A" w:rsidRDefault="0081146A"/>
    <w:sectPr w:rsidR="0081146A">
      <w:footerReference w:type="even" r:id="rId5"/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59652335"/>
      <w:docPartObj>
        <w:docPartGallery w:val="Page Numbers (Bottom of Page)"/>
        <w:docPartUnique/>
      </w:docPartObj>
    </w:sdtPr>
    <w:sdtContent>
      <w:p w14:paraId="073906BC" w14:textId="77777777" w:rsidR="00321BB5" w:rsidRDefault="00000000" w:rsidP="00ED481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2142074306"/>
      <w:docPartObj>
        <w:docPartGallery w:val="Page Numbers (Bottom of Page)"/>
        <w:docPartUnique/>
      </w:docPartObj>
    </w:sdtPr>
    <w:sdtContent>
      <w:p w14:paraId="31C41D5C" w14:textId="77777777" w:rsidR="00321BB5" w:rsidRDefault="00000000" w:rsidP="00321BB5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BA71BB4" w14:textId="77777777" w:rsidR="00321BB5" w:rsidRDefault="00000000" w:rsidP="00321BB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99986303"/>
      <w:docPartObj>
        <w:docPartGallery w:val="Page Numbers (Bottom of Page)"/>
        <w:docPartUnique/>
      </w:docPartObj>
    </w:sdtPr>
    <w:sdtContent>
      <w:p w14:paraId="49F75AA4" w14:textId="77777777" w:rsidR="00321BB5" w:rsidRDefault="00000000" w:rsidP="00ED481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31</w:t>
        </w:r>
        <w:r>
          <w:rPr>
            <w:rStyle w:val="PageNumber"/>
          </w:rPr>
          <w:fldChar w:fldCharType="end"/>
        </w:r>
      </w:p>
    </w:sdtContent>
  </w:sdt>
  <w:p w14:paraId="315D3419" w14:textId="77777777" w:rsidR="00321BB5" w:rsidRPr="00F233A7" w:rsidRDefault="00000000" w:rsidP="00321BB5">
    <w:pPr>
      <w:pStyle w:val="Footer"/>
      <w:ind w:right="360"/>
      <w:rPr>
        <w:rFonts w:ascii="Arial" w:hAnsi="Arial" w:cs="Arial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508A7"/>
    <w:multiLevelType w:val="hybridMultilevel"/>
    <w:tmpl w:val="2D30E422"/>
    <w:lvl w:ilvl="0" w:tplc="7C6C9DC6">
      <w:start w:val="1"/>
      <w:numFmt w:val="upperLetter"/>
      <w:lvlText w:val="(%1)"/>
      <w:lvlJc w:val="left"/>
      <w:pPr>
        <w:ind w:left="360" w:hanging="360"/>
      </w:pPr>
      <w:rPr>
        <w:rFonts w:ascii="Arial" w:eastAsia="Times New Roman" w:hAnsi="Arial" w:cs="Arial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046B01"/>
    <w:multiLevelType w:val="hybridMultilevel"/>
    <w:tmpl w:val="3E964BAC"/>
    <w:lvl w:ilvl="0" w:tplc="6FBE5E80">
      <w:start w:val="1"/>
      <w:numFmt w:val="upperLetter"/>
      <w:lvlText w:val="(%1)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5C5AED"/>
    <w:multiLevelType w:val="hybridMultilevel"/>
    <w:tmpl w:val="298402FE"/>
    <w:lvl w:ilvl="0" w:tplc="BF304B4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9F2E20"/>
    <w:multiLevelType w:val="hybridMultilevel"/>
    <w:tmpl w:val="020C090C"/>
    <w:lvl w:ilvl="0" w:tplc="961C2980">
      <w:start w:val="1"/>
      <w:numFmt w:val="upperLetter"/>
      <w:lvlText w:val="(%1)"/>
      <w:lvlJc w:val="left"/>
      <w:pPr>
        <w:ind w:left="360" w:hanging="360"/>
      </w:pPr>
      <w:rPr>
        <w:rFonts w:ascii="Arial" w:eastAsia="Times New Roman" w:hAnsi="Arial" w:cs="Arial" w:hint="default"/>
        <w:b/>
        <w:bCs/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885889">
    <w:abstractNumId w:val="3"/>
  </w:num>
  <w:num w:numId="2" w16cid:durableId="893781918">
    <w:abstractNumId w:val="0"/>
  </w:num>
  <w:num w:numId="3" w16cid:durableId="1885825195">
    <w:abstractNumId w:val="2"/>
  </w:num>
  <w:num w:numId="4" w16cid:durableId="829978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FFD"/>
    <w:rsid w:val="007715B0"/>
    <w:rsid w:val="0081146A"/>
    <w:rsid w:val="008F0FFD"/>
    <w:rsid w:val="00BC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741BBC"/>
  <w14:defaultImageDpi w14:val="32767"/>
  <w15:chartTrackingRefBased/>
  <w15:docId w15:val="{610CB877-2696-7849-B0A1-F477D588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F0FFD"/>
    <w:rPr>
      <w:rFonts w:ascii="Times New Roman" w:eastAsia="Times New Roman" w:hAnsi="Times New Roman" w:cs="Times New Roman"/>
      <w:lang w:val="en-A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FF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F0F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FFD"/>
    <w:rPr>
      <w:rFonts w:ascii="Times New Roman" w:eastAsia="Times New Roman" w:hAnsi="Times New Roman" w:cs="Times New Roman"/>
      <w:lang w:val="en-AU" w:eastAsia="zh-CN"/>
    </w:rPr>
  </w:style>
  <w:style w:type="character" w:styleId="PageNumber">
    <w:name w:val="page number"/>
    <w:basedOn w:val="DefaultParagraphFont"/>
    <w:uiPriority w:val="99"/>
    <w:semiHidden/>
    <w:unhideWhenUsed/>
    <w:rsid w:val="008F0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2023-06-06T14:52:00Z</dcterms:created>
  <dcterms:modified xsi:type="dcterms:W3CDTF">2023-06-06T14:53:00Z</dcterms:modified>
</cp:coreProperties>
</file>