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2DF4" w:rsidRDefault="00F32DF4" w:rsidP="00F32DF4">
      <w:pPr>
        <w:spacing w:line="288" w:lineRule="auto"/>
        <w:rPr>
          <w:rFonts w:ascii="Arial" w:hAnsi="Arial" w:cs="Arial"/>
          <w:b/>
          <w:bCs/>
          <w:sz w:val="22"/>
          <w:szCs w:val="22"/>
          <w:lang w:val="en-US"/>
        </w:rPr>
      </w:pPr>
      <w:r>
        <w:rPr>
          <w:rFonts w:ascii="Arial" w:hAnsi="Arial" w:cs="Arial"/>
          <w:b/>
          <w:bCs/>
          <w:sz w:val="22"/>
          <w:szCs w:val="22"/>
          <w:lang w:val="en-US"/>
        </w:rPr>
        <w:t>Supplemental Figure Legends</w:t>
      </w:r>
    </w:p>
    <w:p w:rsidR="00F32DF4" w:rsidRDefault="00F32DF4" w:rsidP="00F32DF4">
      <w:pPr>
        <w:spacing w:line="288" w:lineRule="auto"/>
        <w:rPr>
          <w:rFonts w:ascii="Arial" w:hAnsi="Arial" w:cs="Arial"/>
          <w:b/>
          <w:bCs/>
          <w:sz w:val="22"/>
          <w:szCs w:val="22"/>
          <w:lang w:val="en-US"/>
        </w:rPr>
      </w:pPr>
    </w:p>
    <w:p w:rsidR="00F32DF4" w:rsidRPr="00EF479E" w:rsidRDefault="00F32DF4" w:rsidP="00F32DF4">
      <w:pPr>
        <w:spacing w:line="288" w:lineRule="auto"/>
        <w:rPr>
          <w:rFonts w:ascii="Arial" w:hAnsi="Arial" w:cs="Arial"/>
          <w:b/>
          <w:bCs/>
          <w:sz w:val="22"/>
          <w:szCs w:val="22"/>
          <w:lang w:val="en-US"/>
        </w:rPr>
      </w:pPr>
      <w:r w:rsidRPr="00EF479E">
        <w:rPr>
          <w:rFonts w:ascii="Arial" w:hAnsi="Arial" w:cs="Arial"/>
          <w:b/>
          <w:bCs/>
          <w:sz w:val="22"/>
          <w:szCs w:val="22"/>
          <w:lang w:val="en-US"/>
        </w:rPr>
        <w:t xml:space="preserve">Fig S1: Short-term brain incubation </w:t>
      </w:r>
      <w:r w:rsidRPr="00EF479E">
        <w:rPr>
          <w:rFonts w:ascii="Arial" w:hAnsi="Arial" w:cs="Arial"/>
          <w:b/>
          <w:bCs/>
          <w:i/>
          <w:iCs/>
          <w:sz w:val="22"/>
          <w:szCs w:val="22"/>
          <w:lang w:val="en-US"/>
        </w:rPr>
        <w:t>ex vivo</w:t>
      </w:r>
      <w:r w:rsidRPr="00EF479E">
        <w:rPr>
          <w:rFonts w:ascii="Arial" w:hAnsi="Arial" w:cs="Arial"/>
          <w:b/>
          <w:bCs/>
          <w:sz w:val="22"/>
          <w:szCs w:val="22"/>
          <w:lang w:val="en-US"/>
        </w:rPr>
        <w:t xml:space="preserve"> is compatible with pseudo steady-state assumptions</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A: Comparison of total RNA levels from brains harvested directly after dissection to those harvested after incubation in assay media for 60 min.</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B: Comparison of total RNA levels from brains harvested directly after dissection to those harvested after incubation in assay media with 500 µM 4sU for 60 min.</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C: Comparison of the degradation / processing rate ratio (deg / proc rate) for the samples compared in A). Because both rates are measured in in hr</w:t>
      </w:r>
      <w:r w:rsidRPr="00EF479E">
        <w:rPr>
          <w:rFonts w:ascii="Arial" w:hAnsi="Arial" w:cs="Arial"/>
          <w:sz w:val="22"/>
          <w:szCs w:val="22"/>
          <w:vertAlign w:val="superscript"/>
          <w:lang w:val="en-US"/>
        </w:rPr>
        <w:t>-1</w:t>
      </w:r>
      <w:r w:rsidRPr="00EF479E">
        <w:rPr>
          <w:rFonts w:ascii="Arial" w:hAnsi="Arial" w:cs="Arial"/>
          <w:sz w:val="22"/>
          <w:szCs w:val="22"/>
          <w:lang w:val="en-US"/>
        </w:rPr>
        <w:t>, the ratio is unitless.</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D: Same analysis as in C) but for the samples compared in B).</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E: Reproducibility between the RNA-seq samples used in this study. The TPM values were compared for each replicate for all genes passing a cutoff of at least 10 counts in all libraries. For A – E, the Pearson r</w:t>
      </w:r>
      <w:r w:rsidRPr="00EF479E">
        <w:rPr>
          <w:rFonts w:ascii="Arial" w:hAnsi="Arial" w:cs="Arial"/>
          <w:sz w:val="22"/>
          <w:szCs w:val="22"/>
          <w:vertAlign w:val="superscript"/>
          <w:lang w:val="en-US"/>
        </w:rPr>
        <w:t>2</w:t>
      </w:r>
      <w:r w:rsidRPr="00EF479E">
        <w:rPr>
          <w:rFonts w:ascii="Arial" w:hAnsi="Arial" w:cs="Arial"/>
          <w:sz w:val="22"/>
          <w:szCs w:val="22"/>
          <w:lang w:val="en-US"/>
        </w:rPr>
        <w:t xml:space="preserve"> value is shown. In A – B, the axes limits were chosen to best display the majority of the data, which excluded four genes with low expression levels.</w:t>
      </w:r>
    </w:p>
    <w:p w:rsidR="00F32DF4" w:rsidRPr="00EF479E" w:rsidRDefault="00F32DF4" w:rsidP="00F32DF4">
      <w:pPr>
        <w:spacing w:line="288" w:lineRule="auto"/>
        <w:rPr>
          <w:rFonts w:ascii="Arial" w:hAnsi="Arial" w:cs="Arial"/>
          <w:sz w:val="22"/>
          <w:szCs w:val="22"/>
          <w:lang w:val="en-US"/>
        </w:rPr>
      </w:pPr>
    </w:p>
    <w:p w:rsidR="00F32DF4" w:rsidRPr="00EF479E" w:rsidRDefault="00F32DF4" w:rsidP="00F32DF4">
      <w:pPr>
        <w:spacing w:line="288" w:lineRule="auto"/>
        <w:rPr>
          <w:rFonts w:ascii="Arial" w:hAnsi="Arial" w:cs="Arial"/>
          <w:b/>
          <w:bCs/>
          <w:sz w:val="22"/>
          <w:szCs w:val="22"/>
          <w:lang w:val="en-US"/>
        </w:rPr>
      </w:pPr>
      <w:r w:rsidRPr="00EF479E">
        <w:rPr>
          <w:rFonts w:ascii="Arial" w:hAnsi="Arial" w:cs="Arial"/>
          <w:b/>
          <w:bCs/>
          <w:sz w:val="22"/>
          <w:szCs w:val="22"/>
          <w:lang w:val="en-US"/>
        </w:rPr>
        <w:t>Fig S2: Neuronally localized RNAs have high stability</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 xml:space="preserve">Boxplot of RNA stability for RNAs which have been identified as enriched in neural projections. Projection localized RNAs were defined as those with enrichment p&lt;0.1 in at least three different studies </w:t>
      </w:r>
      <w:sdt>
        <w:sdtPr>
          <w:rPr>
            <w:rFonts w:ascii="Arial" w:hAnsi="Arial" w:cs="Arial"/>
            <w:color w:val="000000"/>
            <w:sz w:val="22"/>
            <w:szCs w:val="22"/>
            <w:lang w:val="en-US"/>
          </w:rPr>
          <w:tag w:val="MENDELEY_CITATION_v3_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"/>
          <w:id w:val="2085030450"/>
          <w:placeholder>
            <w:docPart w:val="378C197B27420441863075892ADB7C95"/>
          </w:placeholder>
        </w:sdtPr>
        <w:sdtEndPr>
          <w:rPr>
            <w:lang w:val="en-GB"/>
          </w:rPr>
        </w:sdtEndPr>
        <w:sdtContent>
          <w:r w:rsidRPr="00EF479E">
            <w:rPr>
              <w:rFonts w:ascii="Arial" w:hAnsi="Arial" w:cs="Arial"/>
              <w:color w:val="000000"/>
              <w:sz w:val="22"/>
              <w:szCs w:val="22"/>
            </w:rPr>
            <w:t>(</w:t>
          </w:r>
          <w:proofErr w:type="spellStart"/>
          <w:r w:rsidRPr="00EF479E">
            <w:rPr>
              <w:rFonts w:ascii="Arial" w:hAnsi="Arial" w:cs="Arial"/>
              <w:color w:val="000000"/>
              <w:sz w:val="22"/>
              <w:szCs w:val="22"/>
            </w:rPr>
            <w:t>Kügelgen</w:t>
          </w:r>
          <w:proofErr w:type="spellEnd"/>
          <w:r w:rsidRPr="00EF479E">
            <w:rPr>
              <w:rFonts w:ascii="Arial" w:hAnsi="Arial" w:cs="Arial"/>
              <w:color w:val="000000"/>
              <w:sz w:val="22"/>
              <w:szCs w:val="22"/>
            </w:rPr>
            <w:t xml:space="preserve"> and </w:t>
          </w:r>
          <w:proofErr w:type="spellStart"/>
          <w:r w:rsidRPr="00EF479E">
            <w:rPr>
              <w:rFonts w:ascii="Arial" w:hAnsi="Arial" w:cs="Arial"/>
              <w:color w:val="000000"/>
              <w:sz w:val="22"/>
              <w:szCs w:val="22"/>
            </w:rPr>
            <w:t>Chekulaeva</w:t>
          </w:r>
          <w:proofErr w:type="spellEnd"/>
          <w:r w:rsidRPr="00EF479E">
            <w:rPr>
              <w:rFonts w:ascii="Arial" w:hAnsi="Arial" w:cs="Arial"/>
              <w:color w:val="000000"/>
              <w:sz w:val="22"/>
              <w:szCs w:val="22"/>
            </w:rPr>
            <w:t xml:space="preserve"> 2020)</w:t>
          </w:r>
        </w:sdtContent>
      </w:sdt>
      <w:r w:rsidRPr="00EF479E">
        <w:rPr>
          <w:rFonts w:ascii="Arial" w:hAnsi="Arial" w:cs="Arial"/>
          <w:sz w:val="22"/>
          <w:szCs w:val="22"/>
          <w:lang w:val="en-US"/>
        </w:rPr>
        <w:t>. *p&lt;0.05, **p&lt;10e</w:t>
      </w:r>
      <w:r w:rsidRPr="00EF479E">
        <w:rPr>
          <w:rFonts w:ascii="Arial" w:hAnsi="Arial" w:cs="Arial"/>
          <w:sz w:val="22"/>
          <w:szCs w:val="22"/>
          <w:vertAlign w:val="superscript"/>
          <w:lang w:val="en-US"/>
        </w:rPr>
        <w:t>-10</w:t>
      </w:r>
      <w:r w:rsidRPr="00EF479E">
        <w:rPr>
          <w:rFonts w:ascii="Arial" w:hAnsi="Arial" w:cs="Arial"/>
          <w:sz w:val="22"/>
          <w:szCs w:val="22"/>
          <w:lang w:val="en-US"/>
        </w:rPr>
        <w:t>, ***p&lt;10e</w:t>
      </w:r>
      <w:r w:rsidRPr="00EF479E">
        <w:rPr>
          <w:rFonts w:ascii="Arial" w:hAnsi="Arial" w:cs="Arial"/>
          <w:sz w:val="22"/>
          <w:szCs w:val="22"/>
          <w:vertAlign w:val="superscript"/>
          <w:lang w:val="en-US"/>
        </w:rPr>
        <w:t>-40</w:t>
      </w:r>
      <w:r w:rsidRPr="00EF479E">
        <w:rPr>
          <w:rFonts w:ascii="Arial" w:hAnsi="Arial" w:cs="Arial"/>
          <w:sz w:val="22"/>
          <w:szCs w:val="22"/>
          <w:lang w:val="en-US"/>
        </w:rPr>
        <w:t>.</w:t>
      </w:r>
    </w:p>
    <w:p w:rsidR="00F32DF4" w:rsidRPr="00EF479E" w:rsidRDefault="00F32DF4" w:rsidP="00F32DF4">
      <w:pPr>
        <w:spacing w:line="288" w:lineRule="auto"/>
        <w:rPr>
          <w:rFonts w:ascii="Arial" w:hAnsi="Arial" w:cs="Arial"/>
          <w:sz w:val="22"/>
          <w:szCs w:val="22"/>
          <w:lang w:val="en-US"/>
        </w:rPr>
      </w:pPr>
    </w:p>
    <w:p w:rsidR="00F32DF4" w:rsidRPr="00EF479E" w:rsidRDefault="00F32DF4" w:rsidP="00F32DF4">
      <w:pPr>
        <w:spacing w:line="288" w:lineRule="auto"/>
        <w:rPr>
          <w:rFonts w:ascii="Arial" w:hAnsi="Arial" w:cs="Arial"/>
          <w:b/>
          <w:bCs/>
          <w:sz w:val="22"/>
          <w:szCs w:val="22"/>
          <w:lang w:val="en-US"/>
        </w:rPr>
      </w:pPr>
      <w:r w:rsidRPr="00EF479E">
        <w:rPr>
          <w:rFonts w:ascii="Arial" w:hAnsi="Arial" w:cs="Arial"/>
          <w:b/>
          <w:bCs/>
          <w:sz w:val="22"/>
          <w:szCs w:val="22"/>
          <w:lang w:val="en-US"/>
        </w:rPr>
        <w:t>Fig S3: The relationship between decay rates, functional classes, and RNA abundance</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A: Relationship between the total RNA level and the decay rate. Spearman’s r</w:t>
      </w:r>
      <w:r w:rsidRPr="00EF479E">
        <w:rPr>
          <w:rFonts w:ascii="Arial" w:hAnsi="Arial" w:cs="Arial"/>
          <w:sz w:val="22"/>
          <w:szCs w:val="22"/>
          <w:vertAlign w:val="superscript"/>
          <w:lang w:val="en-US"/>
        </w:rPr>
        <w:t>2</w:t>
      </w:r>
      <w:r w:rsidRPr="00EF479E">
        <w:rPr>
          <w:rFonts w:ascii="Arial" w:hAnsi="Arial" w:cs="Arial"/>
          <w:sz w:val="22"/>
          <w:szCs w:val="22"/>
          <w:lang w:val="en-US"/>
        </w:rPr>
        <w:t xml:space="preserve"> is shown. The axis display limits were chosen to show the main data trend, which excluded two data points with very low values.</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 xml:space="preserve">B: Stability percentile of GO slim molecular function categories. The GO slim categories were taken from the </w:t>
      </w:r>
      <w:proofErr w:type="spellStart"/>
      <w:r w:rsidRPr="00EF479E">
        <w:rPr>
          <w:rFonts w:ascii="Arial" w:hAnsi="Arial" w:cs="Arial"/>
          <w:sz w:val="22"/>
          <w:szCs w:val="22"/>
          <w:lang w:val="en-US"/>
        </w:rPr>
        <w:t>Flybase</w:t>
      </w:r>
      <w:proofErr w:type="spellEnd"/>
      <w:r w:rsidRPr="00EF479E">
        <w:rPr>
          <w:rFonts w:ascii="Arial" w:hAnsi="Arial" w:cs="Arial"/>
          <w:sz w:val="22"/>
          <w:szCs w:val="22"/>
          <w:lang w:val="en-US"/>
        </w:rPr>
        <w:t xml:space="preserve"> functional ribbon annotations. The histograms are displayed as kernel density estimates. The median expression level of the RNAs binned by stability percentile in each category is shown with the color map.</w:t>
      </w:r>
    </w:p>
    <w:p w:rsidR="00F32DF4" w:rsidRPr="00EF479E" w:rsidRDefault="00F32DF4" w:rsidP="00F32DF4">
      <w:pPr>
        <w:spacing w:line="288" w:lineRule="auto"/>
        <w:rPr>
          <w:rFonts w:ascii="Arial" w:hAnsi="Arial" w:cs="Arial"/>
          <w:sz w:val="22"/>
          <w:szCs w:val="22"/>
          <w:lang w:val="en-US"/>
        </w:rPr>
      </w:pPr>
    </w:p>
    <w:p w:rsidR="00F32DF4" w:rsidRPr="00EF479E" w:rsidRDefault="00F32DF4" w:rsidP="00F32DF4">
      <w:pPr>
        <w:spacing w:line="288" w:lineRule="auto"/>
        <w:rPr>
          <w:rFonts w:ascii="Arial" w:hAnsi="Arial" w:cs="Arial"/>
          <w:b/>
          <w:bCs/>
          <w:sz w:val="22"/>
          <w:szCs w:val="22"/>
          <w:lang w:val="en-US"/>
        </w:rPr>
      </w:pPr>
      <w:r w:rsidRPr="00EF479E">
        <w:rPr>
          <w:rFonts w:ascii="Arial" w:hAnsi="Arial" w:cs="Arial"/>
          <w:b/>
          <w:bCs/>
          <w:sz w:val="22"/>
          <w:szCs w:val="22"/>
          <w:lang w:val="en-US"/>
        </w:rPr>
        <w:t>Fig S4: The stability of cell-type-specific RNAs varies across central nervous system cell types</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 xml:space="preserve">The stabilities of RNAs that are enriched in specific cell types using the same metrics as in Fig. 3, but using the analysis from a companion study which assigned more specific cell type identities </w:t>
      </w:r>
      <w:sdt>
        <w:sdtPr>
          <w:rPr>
            <w:rFonts w:ascii="Arial" w:hAnsi="Arial" w:cs="Arial"/>
            <w:color w:val="000000"/>
            <w:sz w:val="22"/>
            <w:szCs w:val="22"/>
            <w:lang w:val="en-US"/>
          </w:rPr>
          <w:tag w:val="MENDELEY_CITATION_v3_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"/>
          <w:id w:val="-29962778"/>
          <w:placeholder>
            <w:docPart w:val="378C197B27420441863075892ADB7C95"/>
          </w:placeholder>
        </w:sdtPr>
        <w:sdtContent>
          <w:r w:rsidRPr="00EF479E">
            <w:rPr>
              <w:rFonts w:ascii="Arial" w:hAnsi="Arial" w:cs="Arial"/>
              <w:color w:val="000000"/>
              <w:sz w:val="22"/>
              <w:szCs w:val="22"/>
              <w:lang w:val="en-US"/>
            </w:rPr>
            <w:t>(Dillon et al. 2022)</w:t>
          </w:r>
        </w:sdtContent>
      </w:sdt>
      <w:r w:rsidRPr="00EF479E">
        <w:rPr>
          <w:rFonts w:ascii="Arial" w:hAnsi="Arial" w:cs="Arial"/>
          <w:sz w:val="22"/>
          <w:szCs w:val="22"/>
          <w:lang w:val="en-US"/>
        </w:rPr>
        <w:t xml:space="preserve">. Cell type key: N = neurons, </w:t>
      </w:r>
      <w:proofErr w:type="spellStart"/>
      <w:r w:rsidRPr="00EF479E">
        <w:rPr>
          <w:rFonts w:ascii="Arial" w:hAnsi="Arial" w:cs="Arial"/>
          <w:sz w:val="22"/>
          <w:szCs w:val="22"/>
          <w:lang w:val="en-US"/>
        </w:rPr>
        <w:t>Gl</w:t>
      </w:r>
      <w:proofErr w:type="spellEnd"/>
      <w:r w:rsidRPr="00EF479E">
        <w:rPr>
          <w:rFonts w:ascii="Arial" w:hAnsi="Arial" w:cs="Arial"/>
          <w:sz w:val="22"/>
          <w:szCs w:val="22"/>
          <w:lang w:val="en-US"/>
        </w:rPr>
        <w:t xml:space="preserve"> = glia, NBs = neuroblasts, GMCs = ganglion mother cells, INPs = intermediate neural progenitors, KC = Kenyon cells. Other abbreviations: GABA (</w:t>
      </w:r>
      <w:proofErr w:type="spellStart"/>
      <w:r w:rsidRPr="00EF479E">
        <w:rPr>
          <w:rFonts w:ascii="Arial" w:hAnsi="Arial" w:cs="Arial"/>
          <w:sz w:val="22"/>
          <w:szCs w:val="22"/>
          <w:lang w:val="en-US"/>
        </w:rPr>
        <w:t>Gabaergic</w:t>
      </w:r>
      <w:proofErr w:type="spellEnd"/>
      <w:r w:rsidRPr="00EF479E">
        <w:rPr>
          <w:rFonts w:ascii="Arial" w:hAnsi="Arial" w:cs="Arial"/>
          <w:sz w:val="22"/>
          <w:szCs w:val="22"/>
          <w:lang w:val="en-US"/>
        </w:rPr>
        <w:t xml:space="preserve">), </w:t>
      </w:r>
      <w:proofErr w:type="spellStart"/>
      <w:r w:rsidRPr="00EF479E">
        <w:rPr>
          <w:rFonts w:ascii="Arial" w:hAnsi="Arial" w:cs="Arial"/>
          <w:sz w:val="22"/>
          <w:szCs w:val="22"/>
          <w:lang w:val="en-US"/>
        </w:rPr>
        <w:t>Neurosec</w:t>
      </w:r>
      <w:proofErr w:type="spellEnd"/>
      <w:r w:rsidRPr="00EF479E">
        <w:rPr>
          <w:rFonts w:ascii="Arial" w:hAnsi="Arial" w:cs="Arial"/>
          <w:sz w:val="22"/>
          <w:szCs w:val="22"/>
          <w:lang w:val="en-US"/>
        </w:rPr>
        <w:t xml:space="preserve"> cells (neurosecretory cells), </w:t>
      </w:r>
      <w:proofErr w:type="spellStart"/>
      <w:r w:rsidRPr="00EF479E">
        <w:rPr>
          <w:rFonts w:ascii="Arial" w:hAnsi="Arial" w:cs="Arial"/>
          <w:sz w:val="22"/>
          <w:szCs w:val="22"/>
          <w:lang w:val="en-US"/>
        </w:rPr>
        <w:t>Immat</w:t>
      </w:r>
      <w:proofErr w:type="spellEnd"/>
      <w:r w:rsidRPr="00EF479E">
        <w:rPr>
          <w:rFonts w:ascii="Arial" w:hAnsi="Arial" w:cs="Arial"/>
          <w:sz w:val="22"/>
          <w:szCs w:val="22"/>
          <w:lang w:val="en-US"/>
        </w:rPr>
        <w:t xml:space="preserve"> (immature), Glut (glutamatergic), </w:t>
      </w:r>
      <w:proofErr w:type="spellStart"/>
      <w:r w:rsidRPr="00EF479E">
        <w:rPr>
          <w:rFonts w:ascii="Arial" w:hAnsi="Arial" w:cs="Arial"/>
          <w:sz w:val="22"/>
          <w:szCs w:val="22"/>
          <w:lang w:val="en-US"/>
        </w:rPr>
        <w:t>Octop</w:t>
      </w:r>
      <w:proofErr w:type="spellEnd"/>
      <w:r w:rsidRPr="00EF479E">
        <w:rPr>
          <w:rFonts w:ascii="Arial" w:hAnsi="Arial" w:cs="Arial"/>
          <w:sz w:val="22"/>
          <w:szCs w:val="22"/>
          <w:lang w:val="en-US"/>
        </w:rPr>
        <w:t xml:space="preserve"> (octopaminergic), </w:t>
      </w:r>
      <w:proofErr w:type="spellStart"/>
      <w:r w:rsidRPr="00EF479E">
        <w:rPr>
          <w:rFonts w:ascii="Arial" w:hAnsi="Arial" w:cs="Arial"/>
          <w:sz w:val="22"/>
          <w:szCs w:val="22"/>
          <w:lang w:val="en-US"/>
        </w:rPr>
        <w:t>Undiff</w:t>
      </w:r>
      <w:proofErr w:type="spellEnd"/>
      <w:r w:rsidRPr="00EF479E">
        <w:rPr>
          <w:rFonts w:ascii="Arial" w:hAnsi="Arial" w:cs="Arial"/>
          <w:sz w:val="22"/>
          <w:szCs w:val="22"/>
          <w:lang w:val="en-US"/>
        </w:rPr>
        <w:t xml:space="preserve"> (undifferentiated), Chol (cholinergic), </w:t>
      </w:r>
      <w:proofErr w:type="spellStart"/>
      <w:r w:rsidRPr="00EF479E">
        <w:rPr>
          <w:rFonts w:ascii="Arial" w:hAnsi="Arial" w:cs="Arial"/>
          <w:sz w:val="22"/>
          <w:szCs w:val="22"/>
          <w:lang w:val="en-US"/>
        </w:rPr>
        <w:t>Unann</w:t>
      </w:r>
      <w:proofErr w:type="spellEnd"/>
      <w:r w:rsidRPr="00EF479E">
        <w:rPr>
          <w:rFonts w:ascii="Arial" w:hAnsi="Arial" w:cs="Arial"/>
          <w:sz w:val="22"/>
          <w:szCs w:val="22"/>
          <w:lang w:val="en-US"/>
        </w:rPr>
        <w:t xml:space="preserve"> (unannotated), </w:t>
      </w:r>
      <w:proofErr w:type="spellStart"/>
      <w:r w:rsidRPr="00EF479E">
        <w:rPr>
          <w:rFonts w:ascii="Arial" w:hAnsi="Arial" w:cs="Arial"/>
          <w:sz w:val="22"/>
          <w:szCs w:val="22"/>
          <w:lang w:val="en-US"/>
        </w:rPr>
        <w:t>Pept</w:t>
      </w:r>
      <w:proofErr w:type="spellEnd"/>
      <w:r w:rsidRPr="00EF479E">
        <w:rPr>
          <w:rFonts w:ascii="Arial" w:hAnsi="Arial" w:cs="Arial"/>
          <w:sz w:val="22"/>
          <w:szCs w:val="22"/>
          <w:lang w:val="en-US"/>
        </w:rPr>
        <w:t xml:space="preserve"> (</w:t>
      </w:r>
      <w:proofErr w:type="spellStart"/>
      <w:r w:rsidRPr="00EF479E">
        <w:rPr>
          <w:rFonts w:ascii="Arial" w:hAnsi="Arial" w:cs="Arial"/>
          <w:sz w:val="22"/>
          <w:szCs w:val="22"/>
          <w:lang w:val="en-US"/>
        </w:rPr>
        <w:t>peptidergic</w:t>
      </w:r>
      <w:proofErr w:type="spellEnd"/>
      <w:r w:rsidRPr="00EF479E">
        <w:rPr>
          <w:rFonts w:ascii="Arial" w:hAnsi="Arial" w:cs="Arial"/>
          <w:sz w:val="22"/>
          <w:szCs w:val="22"/>
          <w:lang w:val="en-US"/>
        </w:rPr>
        <w:t>), Mono (monoaminergic).</w:t>
      </w:r>
    </w:p>
    <w:p w:rsidR="00F32DF4" w:rsidRPr="00EF479E" w:rsidRDefault="00F32DF4" w:rsidP="00F32DF4">
      <w:pPr>
        <w:spacing w:line="288" w:lineRule="auto"/>
        <w:rPr>
          <w:rFonts w:ascii="Arial" w:hAnsi="Arial" w:cs="Arial"/>
          <w:b/>
          <w:color w:val="C00000"/>
          <w:sz w:val="22"/>
          <w:szCs w:val="22"/>
          <w:lang w:val="en-US"/>
        </w:rPr>
      </w:pPr>
    </w:p>
    <w:p w:rsidR="00F32DF4" w:rsidRPr="00EF479E" w:rsidRDefault="00F32DF4" w:rsidP="00F32DF4">
      <w:pPr>
        <w:spacing w:line="288" w:lineRule="auto"/>
        <w:rPr>
          <w:rFonts w:ascii="Arial" w:hAnsi="Arial" w:cs="Arial"/>
          <w:b/>
          <w:color w:val="000000" w:themeColor="text1"/>
          <w:sz w:val="22"/>
          <w:szCs w:val="22"/>
          <w:lang w:val="en-US"/>
        </w:rPr>
      </w:pPr>
      <w:r w:rsidRPr="00EF479E">
        <w:rPr>
          <w:rFonts w:ascii="Arial" w:hAnsi="Arial" w:cs="Arial"/>
          <w:b/>
          <w:color w:val="000000" w:themeColor="text1"/>
          <w:sz w:val="22"/>
          <w:szCs w:val="22"/>
          <w:lang w:val="en-US"/>
        </w:rPr>
        <w:t>Fig S5: Biological functions of stable and unstable cell-type-specific RNAs</w:t>
      </w:r>
    </w:p>
    <w:p w:rsidR="00F32DF4" w:rsidRPr="00EF479E" w:rsidRDefault="00F32DF4" w:rsidP="00F32DF4">
      <w:pPr>
        <w:spacing w:line="288" w:lineRule="auto"/>
        <w:rPr>
          <w:rFonts w:ascii="Arial" w:hAnsi="Arial" w:cs="Arial"/>
          <w:color w:val="000000" w:themeColor="text1"/>
          <w:sz w:val="22"/>
          <w:szCs w:val="22"/>
          <w:lang w:val="en-US"/>
        </w:rPr>
      </w:pPr>
      <w:r w:rsidRPr="00EF479E">
        <w:rPr>
          <w:rFonts w:ascii="Arial" w:hAnsi="Arial" w:cs="Arial"/>
          <w:color w:val="000000" w:themeColor="text1"/>
          <w:sz w:val="22"/>
          <w:szCs w:val="22"/>
          <w:lang w:val="en-US"/>
        </w:rPr>
        <w:lastRenderedPageBreak/>
        <w:t xml:space="preserve">Enriched gene ontology (GO) terms in the biological process namespace </w:t>
      </w:r>
      <w:proofErr w:type="gramStart"/>
      <w:r w:rsidRPr="00EF479E">
        <w:rPr>
          <w:rFonts w:ascii="Arial" w:hAnsi="Arial" w:cs="Arial"/>
          <w:color w:val="000000" w:themeColor="text1"/>
          <w:sz w:val="22"/>
          <w:szCs w:val="22"/>
          <w:lang w:val="en-US"/>
        </w:rPr>
        <w:t>is</w:t>
      </w:r>
      <w:proofErr w:type="gramEnd"/>
      <w:r w:rsidRPr="00EF479E">
        <w:rPr>
          <w:rFonts w:ascii="Arial" w:hAnsi="Arial" w:cs="Arial"/>
          <w:color w:val="000000" w:themeColor="text1"/>
          <w:sz w:val="22"/>
          <w:szCs w:val="22"/>
          <w:lang w:val="en-US"/>
        </w:rPr>
        <w:t xml:space="preserve"> shown for the top 10% most stable cell-type-specific and bottom 10% most unstable cell-type-specific (CTS) RNAs. </w:t>
      </w:r>
    </w:p>
    <w:p w:rsidR="00F32DF4" w:rsidRPr="00EF479E" w:rsidRDefault="00F32DF4" w:rsidP="00F32DF4">
      <w:pPr>
        <w:spacing w:line="288" w:lineRule="auto"/>
        <w:rPr>
          <w:rFonts w:ascii="Arial" w:hAnsi="Arial" w:cs="Arial"/>
          <w:sz w:val="22"/>
          <w:szCs w:val="22"/>
          <w:lang w:val="en-US"/>
        </w:rPr>
      </w:pPr>
    </w:p>
    <w:p w:rsidR="00F32DF4" w:rsidRPr="00EF479E" w:rsidRDefault="00F32DF4" w:rsidP="00F32DF4">
      <w:pPr>
        <w:spacing w:line="288" w:lineRule="auto"/>
        <w:rPr>
          <w:rFonts w:ascii="Arial" w:hAnsi="Arial" w:cs="Arial"/>
          <w:b/>
          <w:bCs/>
          <w:sz w:val="22"/>
          <w:szCs w:val="22"/>
          <w:lang w:val="en-US"/>
        </w:rPr>
      </w:pPr>
      <w:r w:rsidRPr="00EF479E">
        <w:rPr>
          <w:rFonts w:ascii="Arial" w:hAnsi="Arial" w:cs="Arial"/>
          <w:b/>
          <w:bCs/>
          <w:sz w:val="22"/>
          <w:szCs w:val="22"/>
          <w:lang w:val="en-US"/>
        </w:rPr>
        <w:t>Fig. S6: mRNAs encoding RNA binding proteins are enriched in neural progenitor cells</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 xml:space="preserve">A: The same plot shown in Fig. 3A, but with the mRNAs known to encode RNA-binding proteins (RBPs) highlighted. </w:t>
      </w:r>
      <w:proofErr w:type="spellStart"/>
      <w:r w:rsidRPr="00EF479E">
        <w:rPr>
          <w:rFonts w:ascii="Arial" w:hAnsi="Arial" w:cs="Arial"/>
          <w:sz w:val="22"/>
          <w:szCs w:val="22"/>
          <w:lang w:val="en-US"/>
        </w:rPr>
        <w:t>mRBPs</w:t>
      </w:r>
      <w:proofErr w:type="spellEnd"/>
      <w:r w:rsidRPr="00EF479E">
        <w:rPr>
          <w:rFonts w:ascii="Arial" w:hAnsi="Arial" w:cs="Arial"/>
          <w:sz w:val="22"/>
          <w:szCs w:val="22"/>
          <w:lang w:val="en-US"/>
        </w:rPr>
        <w:t xml:space="preserve"> are RBPs which are known to bind mRNA and are a subset of RBPs.</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 xml:space="preserve">B: Stability of cell-type-specific RNAs vs. ubiquitous RNAs for mRNAs encoding RBPs or </w:t>
      </w:r>
      <w:proofErr w:type="spellStart"/>
      <w:r w:rsidRPr="00EF479E">
        <w:rPr>
          <w:rFonts w:ascii="Arial" w:hAnsi="Arial" w:cs="Arial"/>
          <w:sz w:val="22"/>
          <w:szCs w:val="22"/>
          <w:lang w:val="en-US"/>
        </w:rPr>
        <w:t>mRBPs</w:t>
      </w:r>
      <w:proofErr w:type="spellEnd"/>
      <w:r w:rsidRPr="00EF479E">
        <w:rPr>
          <w:rFonts w:ascii="Arial" w:hAnsi="Arial" w:cs="Arial"/>
          <w:sz w:val="22"/>
          <w:szCs w:val="22"/>
          <w:lang w:val="en-US"/>
        </w:rPr>
        <w:t>. The numbers in parentheses under the box plots indicate the number of genes in each category subdivided further into the ubiquitous and cell-type-specific groups. *p&lt;0.05, **p&lt;10e</w:t>
      </w:r>
      <w:r w:rsidRPr="00EF479E">
        <w:rPr>
          <w:rFonts w:ascii="Arial" w:hAnsi="Arial" w:cs="Arial"/>
          <w:sz w:val="22"/>
          <w:szCs w:val="22"/>
          <w:vertAlign w:val="superscript"/>
          <w:lang w:val="en-US"/>
        </w:rPr>
        <w:t>-10</w:t>
      </w:r>
      <w:r w:rsidRPr="00EF479E">
        <w:rPr>
          <w:rFonts w:ascii="Arial" w:hAnsi="Arial" w:cs="Arial"/>
          <w:sz w:val="22"/>
          <w:szCs w:val="22"/>
          <w:lang w:val="en-US"/>
        </w:rPr>
        <w:t>, ***p&lt;10e</w:t>
      </w:r>
      <w:r w:rsidRPr="00EF479E">
        <w:rPr>
          <w:rFonts w:ascii="Arial" w:hAnsi="Arial" w:cs="Arial"/>
          <w:sz w:val="22"/>
          <w:szCs w:val="22"/>
          <w:vertAlign w:val="superscript"/>
          <w:lang w:val="en-US"/>
        </w:rPr>
        <w:t>-40</w:t>
      </w:r>
      <w:r w:rsidRPr="00EF479E">
        <w:rPr>
          <w:rFonts w:ascii="Arial" w:hAnsi="Arial" w:cs="Arial"/>
          <w:sz w:val="22"/>
          <w:szCs w:val="22"/>
          <w:vertAlign w:val="subscript"/>
          <w:lang w:val="en-US"/>
        </w:rPr>
        <w:t>.</w:t>
      </w:r>
    </w:p>
    <w:p w:rsidR="00F32DF4" w:rsidRPr="00EF479E" w:rsidRDefault="00F32DF4" w:rsidP="00F32DF4">
      <w:pPr>
        <w:spacing w:line="288" w:lineRule="auto"/>
        <w:rPr>
          <w:rFonts w:ascii="Arial" w:hAnsi="Arial" w:cs="Arial"/>
          <w:sz w:val="22"/>
          <w:szCs w:val="22"/>
          <w:lang w:val="en-US"/>
        </w:rPr>
      </w:pPr>
    </w:p>
    <w:p w:rsidR="00F32DF4" w:rsidRPr="00EF479E" w:rsidRDefault="00F32DF4" w:rsidP="00F32DF4">
      <w:pPr>
        <w:spacing w:line="288" w:lineRule="auto"/>
        <w:rPr>
          <w:rFonts w:ascii="Arial" w:hAnsi="Arial" w:cs="Arial"/>
          <w:b/>
          <w:bCs/>
          <w:sz w:val="22"/>
          <w:szCs w:val="22"/>
          <w:lang w:val="en-US"/>
        </w:rPr>
      </w:pPr>
      <w:r w:rsidRPr="00EF479E">
        <w:rPr>
          <w:rFonts w:ascii="Arial" w:hAnsi="Arial" w:cs="Arial"/>
          <w:b/>
          <w:bCs/>
          <w:sz w:val="22"/>
          <w:szCs w:val="22"/>
          <w:lang w:val="en-US"/>
        </w:rPr>
        <w:t xml:space="preserve">Fig S7: </w:t>
      </w:r>
      <w:r>
        <w:rPr>
          <w:rFonts w:ascii="Arial" w:hAnsi="Arial" w:cs="Arial"/>
          <w:b/>
          <w:bCs/>
          <w:sz w:val="22"/>
          <w:szCs w:val="22"/>
          <w:lang w:val="en-US"/>
        </w:rPr>
        <w:t xml:space="preserve">RNAs derived from </w:t>
      </w:r>
      <w:proofErr w:type="spellStart"/>
      <w:r>
        <w:rPr>
          <w:rFonts w:ascii="Arial" w:hAnsi="Arial" w:cs="Arial"/>
          <w:b/>
          <w:bCs/>
          <w:sz w:val="22"/>
          <w:szCs w:val="22"/>
          <w:lang w:val="en-US"/>
        </w:rPr>
        <w:t>Polycomb</w:t>
      </w:r>
      <w:proofErr w:type="spellEnd"/>
      <w:r>
        <w:rPr>
          <w:rFonts w:ascii="Arial" w:hAnsi="Arial" w:cs="Arial"/>
          <w:b/>
          <w:bCs/>
          <w:sz w:val="22"/>
          <w:szCs w:val="22"/>
          <w:lang w:val="en-US"/>
        </w:rPr>
        <w:t xml:space="preserve"> target genes increase </w:t>
      </w:r>
      <w:r w:rsidRPr="00EF479E">
        <w:rPr>
          <w:rFonts w:ascii="Arial" w:hAnsi="Arial" w:cs="Arial"/>
          <w:b/>
          <w:bCs/>
          <w:sz w:val="22"/>
          <w:szCs w:val="22"/>
          <w:lang w:val="en-US"/>
        </w:rPr>
        <w:t>in</w:t>
      </w:r>
      <w:r>
        <w:rPr>
          <w:rFonts w:ascii="Arial" w:hAnsi="Arial" w:cs="Arial"/>
          <w:b/>
          <w:bCs/>
          <w:sz w:val="22"/>
          <w:szCs w:val="22"/>
          <w:lang w:val="en-US"/>
        </w:rPr>
        <w:t xml:space="preserve"> both</w:t>
      </w:r>
      <w:r w:rsidRPr="00EF479E">
        <w:rPr>
          <w:rFonts w:ascii="Arial" w:hAnsi="Arial" w:cs="Arial"/>
          <w:b/>
          <w:bCs/>
          <w:sz w:val="22"/>
          <w:szCs w:val="22"/>
          <w:lang w:val="en-US"/>
        </w:rPr>
        <w:t xml:space="preserve"> nascent and total levels after </w:t>
      </w:r>
      <w:proofErr w:type="spellStart"/>
      <w:r w:rsidRPr="00EF479E">
        <w:rPr>
          <w:rFonts w:ascii="Arial" w:hAnsi="Arial" w:cs="Arial"/>
          <w:b/>
          <w:bCs/>
          <w:sz w:val="22"/>
          <w:szCs w:val="22"/>
          <w:lang w:val="en-US"/>
        </w:rPr>
        <w:t>Polycomb</w:t>
      </w:r>
      <w:proofErr w:type="spellEnd"/>
      <w:r w:rsidRPr="00EF479E">
        <w:rPr>
          <w:rFonts w:ascii="Arial" w:hAnsi="Arial" w:cs="Arial"/>
          <w:b/>
          <w:bCs/>
          <w:sz w:val="22"/>
          <w:szCs w:val="22"/>
          <w:lang w:val="en-US"/>
        </w:rPr>
        <w:t xml:space="preserve"> depletion</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 xml:space="preserve">A - B: The change in total RNA levels (A) or nascent RNA levels (B) after knockdown of </w:t>
      </w:r>
      <w:proofErr w:type="spellStart"/>
      <w:r w:rsidRPr="00EF479E">
        <w:rPr>
          <w:rFonts w:ascii="Arial" w:hAnsi="Arial" w:cs="Arial"/>
          <w:sz w:val="22"/>
          <w:szCs w:val="22"/>
          <w:lang w:val="en-US"/>
        </w:rPr>
        <w:t>Polycomb</w:t>
      </w:r>
      <w:proofErr w:type="spellEnd"/>
      <w:r w:rsidRPr="00EF479E">
        <w:rPr>
          <w:rFonts w:ascii="Arial" w:hAnsi="Arial" w:cs="Arial"/>
          <w:sz w:val="22"/>
          <w:szCs w:val="22"/>
          <w:lang w:val="en-US"/>
        </w:rPr>
        <w:t xml:space="preserve"> repressive complex 1 (PRC1 complex) subunit Ph in </w:t>
      </w:r>
      <w:r w:rsidRPr="00EF479E">
        <w:rPr>
          <w:rFonts w:ascii="Arial" w:hAnsi="Arial" w:cs="Arial"/>
          <w:i/>
          <w:iCs/>
          <w:sz w:val="22"/>
          <w:szCs w:val="22"/>
          <w:lang w:val="en-US"/>
        </w:rPr>
        <w:t xml:space="preserve">Drosophila </w:t>
      </w:r>
      <w:r w:rsidRPr="00EF479E">
        <w:rPr>
          <w:rFonts w:ascii="Arial" w:hAnsi="Arial" w:cs="Arial"/>
          <w:sz w:val="22"/>
          <w:szCs w:val="22"/>
          <w:lang w:val="en-US"/>
        </w:rPr>
        <w:t xml:space="preserve">neuronal cells (BG3 cells) </w:t>
      </w:r>
      <w:sdt>
        <w:sdtPr>
          <w:rPr>
            <w:rFonts w:ascii="Arial" w:hAnsi="Arial" w:cs="Arial"/>
            <w:color w:val="000000"/>
            <w:sz w:val="22"/>
            <w:szCs w:val="22"/>
            <w:lang w:val="en-US"/>
          </w:rPr>
          <w:tag w:val="MENDELEY_CITATION_v3_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"/>
          <w:id w:val="892553199"/>
          <w:placeholder>
            <w:docPart w:val="378C197B27420441863075892ADB7C95"/>
          </w:placeholder>
        </w:sdtPr>
        <w:sdtEndPr>
          <w:rPr>
            <w:lang w:val="en-GB"/>
          </w:rPr>
        </w:sdtEndPr>
        <w:sdtContent>
          <w:r w:rsidRPr="00EF479E">
            <w:rPr>
              <w:rFonts w:ascii="Arial" w:hAnsi="Arial" w:cs="Arial"/>
              <w:color w:val="000000"/>
              <w:sz w:val="22"/>
              <w:szCs w:val="22"/>
            </w:rPr>
            <w:t>(</w:t>
          </w:r>
          <w:proofErr w:type="spellStart"/>
          <w:r w:rsidRPr="00EF479E">
            <w:rPr>
              <w:rFonts w:ascii="Arial" w:hAnsi="Arial" w:cs="Arial"/>
              <w:color w:val="000000"/>
              <w:sz w:val="22"/>
              <w:szCs w:val="22"/>
            </w:rPr>
            <w:t>Pherson</w:t>
          </w:r>
          <w:proofErr w:type="spellEnd"/>
          <w:r w:rsidRPr="00EF479E">
            <w:rPr>
              <w:rFonts w:ascii="Arial" w:hAnsi="Arial" w:cs="Arial"/>
              <w:color w:val="000000"/>
              <w:sz w:val="22"/>
              <w:szCs w:val="22"/>
            </w:rPr>
            <w:t xml:space="preserve"> et al. 2017)</w:t>
          </w:r>
        </w:sdtContent>
      </w:sdt>
      <w:r w:rsidRPr="00EF479E">
        <w:rPr>
          <w:rFonts w:ascii="Arial" w:hAnsi="Arial" w:cs="Arial"/>
          <w:sz w:val="22"/>
          <w:szCs w:val="22"/>
          <w:lang w:val="en-US"/>
        </w:rPr>
        <w:t xml:space="preserve">. The purple dots show genes that the authors defined </w:t>
      </w:r>
      <w:r w:rsidRPr="00EF479E">
        <w:rPr>
          <w:rFonts w:ascii="Arial" w:hAnsi="Arial" w:cs="Arial"/>
          <w:sz w:val="22"/>
          <w:szCs w:val="22"/>
        </w:rPr>
        <w:t xml:space="preserve">defined as probable targets of </w:t>
      </w:r>
      <w:proofErr w:type="spellStart"/>
      <w:r w:rsidRPr="00EF479E">
        <w:rPr>
          <w:rFonts w:ascii="Arial" w:hAnsi="Arial" w:cs="Arial"/>
          <w:sz w:val="22"/>
          <w:szCs w:val="22"/>
        </w:rPr>
        <w:t>P</w:t>
      </w:r>
      <w:r>
        <w:rPr>
          <w:rFonts w:ascii="Arial" w:hAnsi="Arial" w:cs="Arial"/>
          <w:sz w:val="22"/>
          <w:szCs w:val="22"/>
        </w:rPr>
        <w:t>olycomb</w:t>
      </w:r>
      <w:proofErr w:type="spellEnd"/>
      <w:r>
        <w:rPr>
          <w:rFonts w:ascii="Arial" w:hAnsi="Arial" w:cs="Arial"/>
          <w:sz w:val="22"/>
          <w:szCs w:val="22"/>
        </w:rPr>
        <w:t xml:space="preserve"> group</w:t>
      </w:r>
      <w:r w:rsidRPr="00EF479E">
        <w:rPr>
          <w:rFonts w:ascii="Arial" w:hAnsi="Arial" w:cs="Arial"/>
          <w:sz w:val="22"/>
          <w:szCs w:val="22"/>
        </w:rPr>
        <w:t xml:space="preserve"> silencing (</w:t>
      </w:r>
      <w:proofErr w:type="spellStart"/>
      <w:r w:rsidRPr="00EF479E">
        <w:rPr>
          <w:rFonts w:ascii="Arial" w:hAnsi="Arial" w:cs="Arial"/>
          <w:sz w:val="22"/>
          <w:szCs w:val="22"/>
        </w:rPr>
        <w:t>PcG</w:t>
      </w:r>
      <w:proofErr w:type="spellEnd"/>
      <w:r w:rsidRPr="00EF479E">
        <w:rPr>
          <w:rFonts w:ascii="Arial" w:hAnsi="Arial" w:cs="Arial"/>
          <w:sz w:val="22"/>
          <w:szCs w:val="22"/>
        </w:rPr>
        <w:t xml:space="preserve"> domain genes</w:t>
      </w:r>
      <w:r>
        <w:rPr>
          <w:rFonts w:ascii="Arial" w:hAnsi="Arial" w:cs="Arial"/>
          <w:sz w:val="22"/>
          <w:szCs w:val="22"/>
        </w:rPr>
        <w:t>)</w:t>
      </w:r>
      <w:r w:rsidRPr="00EF479E">
        <w:rPr>
          <w:rFonts w:ascii="Arial" w:hAnsi="Arial" w:cs="Arial"/>
          <w:sz w:val="22"/>
          <w:szCs w:val="22"/>
          <w:lang w:val="en-US"/>
        </w:rPr>
        <w:t xml:space="preserve">, determined by </w:t>
      </w:r>
      <w:proofErr w:type="spellStart"/>
      <w:r w:rsidRPr="00EF479E">
        <w:rPr>
          <w:rFonts w:ascii="Arial" w:hAnsi="Arial" w:cs="Arial"/>
          <w:sz w:val="22"/>
          <w:szCs w:val="22"/>
          <w:lang w:val="en-US"/>
        </w:rPr>
        <w:t>ChIP</w:t>
      </w:r>
      <w:proofErr w:type="spellEnd"/>
      <w:r w:rsidRPr="00EF479E">
        <w:rPr>
          <w:rFonts w:ascii="Arial" w:hAnsi="Arial" w:cs="Arial"/>
          <w:sz w:val="22"/>
          <w:szCs w:val="22"/>
          <w:lang w:val="en-US"/>
        </w:rPr>
        <w:t>-seq against Ph and H3K27me3 in the same study.</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C: The change in total RNA relative to the change in nascent RNA after Ph knockdown in BG3 cells.</w:t>
      </w:r>
    </w:p>
    <w:p w:rsidR="00F32DF4" w:rsidRPr="00EF479E" w:rsidRDefault="00F32DF4" w:rsidP="00F32DF4">
      <w:pPr>
        <w:spacing w:line="288" w:lineRule="auto"/>
        <w:rPr>
          <w:rFonts w:ascii="Arial" w:hAnsi="Arial" w:cs="Arial"/>
          <w:sz w:val="22"/>
          <w:szCs w:val="22"/>
          <w:lang w:val="en-US"/>
        </w:rPr>
      </w:pPr>
      <w:r w:rsidRPr="00EF479E">
        <w:rPr>
          <w:rFonts w:ascii="Arial" w:hAnsi="Arial" w:cs="Arial"/>
          <w:sz w:val="22"/>
          <w:szCs w:val="22"/>
          <w:lang w:val="en-US"/>
        </w:rPr>
        <w:t xml:space="preserve">D: The ratio of the change in total RNA to the change in nascent RNA for </w:t>
      </w:r>
      <w:proofErr w:type="spellStart"/>
      <w:r w:rsidRPr="00EF479E">
        <w:rPr>
          <w:rFonts w:ascii="Arial" w:hAnsi="Arial" w:cs="Arial"/>
          <w:sz w:val="22"/>
          <w:szCs w:val="22"/>
          <w:lang w:val="en-US"/>
        </w:rPr>
        <w:t>PcG</w:t>
      </w:r>
      <w:proofErr w:type="spellEnd"/>
      <w:r w:rsidRPr="00EF479E">
        <w:rPr>
          <w:rFonts w:ascii="Arial" w:hAnsi="Arial" w:cs="Arial"/>
          <w:sz w:val="22"/>
          <w:szCs w:val="22"/>
          <w:lang w:val="en-US"/>
        </w:rPr>
        <w:t xml:space="preserve"> domain genes vs. other genes in BG3 cells. *p&lt;0.05.</w:t>
      </w:r>
    </w:p>
    <w:p w:rsidR="00100163" w:rsidRDefault="00100163"/>
    <w:sectPr w:rsidR="00100163" w:rsidSect="009E19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DF4"/>
    <w:rsid w:val="00100163"/>
    <w:rsid w:val="00477248"/>
    <w:rsid w:val="009E1909"/>
    <w:rsid w:val="00B266BA"/>
    <w:rsid w:val="00F3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EAE332"/>
  <w15:chartTrackingRefBased/>
  <w15:docId w15:val="{D4B3CD96-07E9-7747-AF6D-63205F305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DF4"/>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8C197B27420441863075892ADB7C95"/>
        <w:category>
          <w:name w:val="General"/>
          <w:gallery w:val="placeholder"/>
        </w:category>
        <w:types>
          <w:type w:val="bbPlcHdr"/>
        </w:types>
        <w:behaviors>
          <w:behavior w:val="content"/>
        </w:behaviors>
        <w:guid w:val="{185BB464-10DB-964A-B888-FF6D9E213DCA}"/>
      </w:docPartPr>
      <w:docPartBody>
        <w:p w:rsidR="00000000" w:rsidRDefault="00074C4B" w:rsidP="00074C4B">
          <w:pPr>
            <w:pStyle w:val="378C197B27420441863075892ADB7C95"/>
          </w:pPr>
          <w:r w:rsidRPr="00EE7B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4B"/>
    <w:rsid w:val="00074C4B"/>
    <w:rsid w:val="001A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C4B"/>
    <w:rPr>
      <w:color w:val="808080"/>
    </w:rPr>
  </w:style>
  <w:style w:type="paragraph" w:customStyle="1" w:styleId="378C197B27420441863075892ADB7C95">
    <w:name w:val="378C197B27420441863075892ADB7C95"/>
    <w:rsid w:val="00074C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2023-04-11T16:01:00Z</dcterms:created>
  <dcterms:modified xsi:type="dcterms:W3CDTF">2023-04-11T16:02:00Z</dcterms:modified>
</cp:coreProperties>
</file>