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EEF8B" w14:textId="77777777" w:rsidR="0059266A" w:rsidRPr="003D1F26" w:rsidRDefault="0059266A" w:rsidP="0059266A">
      <w:pPr>
        <w:spacing w:line="360" w:lineRule="auto"/>
        <w:ind w:left="720" w:right="720"/>
        <w:jc w:val="both"/>
        <w:rPr>
          <w:b/>
        </w:rPr>
      </w:pPr>
      <w:r w:rsidRPr="003D1F26">
        <w:rPr>
          <w:b/>
        </w:rPr>
        <w:t>SUPPLEMENTAL FIGURE 1. Terminal 5′, 2′-phosphates are resistant to T4 RNL1 ligation</w:t>
      </w:r>
      <w:r w:rsidRPr="003D1F26">
        <w:t>. (</w:t>
      </w:r>
      <w:r w:rsidRPr="003D1F26">
        <w:rPr>
          <w:b/>
        </w:rPr>
        <w:t>A</w:t>
      </w:r>
      <w:r w:rsidRPr="003D1F26">
        <w:t xml:space="preserve">) Unmodified 20 </w:t>
      </w:r>
      <w:proofErr w:type="spellStart"/>
      <w:r w:rsidRPr="003D1F26">
        <w:t>nt</w:t>
      </w:r>
      <w:proofErr w:type="spellEnd"/>
      <w:r w:rsidRPr="003D1F26">
        <w:t xml:space="preserve"> oligo and the 2′-phosphorylated 26 </w:t>
      </w:r>
      <w:proofErr w:type="spellStart"/>
      <w:r w:rsidRPr="003D1F26">
        <w:t>nt</w:t>
      </w:r>
      <w:proofErr w:type="spellEnd"/>
      <w:r w:rsidRPr="003D1F26">
        <w:t xml:space="preserve"> oligo used in these experiments. (</w:t>
      </w:r>
      <w:r w:rsidRPr="003D1F26">
        <w:rPr>
          <w:b/>
        </w:rPr>
        <w:t>B</w:t>
      </w:r>
      <w:r w:rsidRPr="003D1F26">
        <w:t xml:space="preserve">) One-hour exonuclease digestions of this 26 </w:t>
      </w:r>
      <w:proofErr w:type="spellStart"/>
      <w:r w:rsidRPr="003D1F26">
        <w:t>nt</w:t>
      </w:r>
      <w:proofErr w:type="spellEnd"/>
      <w:r w:rsidRPr="003D1F26">
        <w:t xml:space="preserve"> substrate with recombinant Xrn1. All products were run on a 15% TBU acrylamide gel alongside an alkaline hydrolysis ladder of both the 2′-PO</w:t>
      </w:r>
      <w:r w:rsidRPr="003D1F26">
        <w:rPr>
          <w:vertAlign w:val="subscript"/>
        </w:rPr>
        <w:t>4</w:t>
      </w:r>
      <w:r w:rsidRPr="003D1F26">
        <w:t xml:space="preserve">-containing and unmodified 26 </w:t>
      </w:r>
      <w:proofErr w:type="spellStart"/>
      <w:r w:rsidRPr="003D1F26">
        <w:t>nt</w:t>
      </w:r>
      <w:proofErr w:type="spellEnd"/>
      <w:r w:rsidRPr="003D1F26">
        <w:t xml:space="preserve"> oligo substrate. In lanes 1-3, overexposure of the alkaline hydrolysis lanes provides clearer visibility of the shift in bands due to lack of hydrolysis at the 2′-phosphorylated position. Xrn1 digestion yields a product of 10-11 </w:t>
      </w:r>
      <w:proofErr w:type="spellStart"/>
      <w:r w:rsidRPr="003D1F26">
        <w:t>nt</w:t>
      </w:r>
      <w:proofErr w:type="spellEnd"/>
      <w:r w:rsidRPr="003D1F26">
        <w:t xml:space="preserve"> in lane 8, consistent with digestion to the 2’-phosphorylated nucleotide. (</w:t>
      </w:r>
      <w:r w:rsidRPr="003D1F26">
        <w:rPr>
          <w:b/>
        </w:rPr>
        <w:t>C</w:t>
      </w:r>
      <w:r w:rsidRPr="003D1F26">
        <w:t xml:space="preserve">) In a ligation assay, 26 </w:t>
      </w:r>
      <w:proofErr w:type="spellStart"/>
      <w:r w:rsidRPr="003D1F26">
        <w:t>nt</w:t>
      </w:r>
      <w:proofErr w:type="spellEnd"/>
      <w:r w:rsidRPr="003D1F26">
        <w:t xml:space="preserve"> oligos were 3´-end labeled with radiolabeled </w:t>
      </w:r>
      <w:proofErr w:type="spellStart"/>
      <w:r w:rsidRPr="003D1F26">
        <w:t>pCp</w:t>
      </w:r>
      <w:proofErr w:type="spellEnd"/>
      <w:r w:rsidRPr="003D1F26">
        <w:t xml:space="preserve"> prior to incubation with or without rXrn1. After digestion, all samples were treated with </w:t>
      </w:r>
      <w:proofErr w:type="spellStart"/>
      <w:proofErr w:type="gramStart"/>
      <w:r w:rsidRPr="003D1F26">
        <w:t>phenol:chloroform</w:t>
      </w:r>
      <w:proofErr w:type="spellEnd"/>
      <w:proofErr w:type="gramEnd"/>
      <w:r w:rsidRPr="003D1F26">
        <w:t xml:space="preserve"> and ethanol precipitated, and then mixed with equimolar amounts of the 20 </w:t>
      </w:r>
      <w:proofErr w:type="spellStart"/>
      <w:r w:rsidRPr="003D1F26">
        <w:t>nt</w:t>
      </w:r>
      <w:proofErr w:type="spellEnd"/>
      <w:r w:rsidRPr="003D1F26">
        <w:t xml:space="preserve"> oligo, followed by a 1 hour incubation with or without T4 RNL1. Ligation products are visible in lane 2, but undetectable in lane 4.</w:t>
      </w:r>
    </w:p>
    <w:p w14:paraId="08288695" w14:textId="77777777" w:rsidR="0059266A" w:rsidRPr="003D1F26" w:rsidRDefault="0059266A" w:rsidP="0059266A">
      <w:pPr>
        <w:spacing w:line="360" w:lineRule="auto"/>
        <w:ind w:left="720" w:right="720"/>
        <w:jc w:val="both"/>
        <w:rPr>
          <w:b/>
        </w:rPr>
      </w:pPr>
    </w:p>
    <w:p w14:paraId="15BFC8DD" w14:textId="77777777" w:rsidR="0059266A" w:rsidRPr="003D1F26" w:rsidRDefault="0059266A" w:rsidP="0059266A">
      <w:pPr>
        <w:spacing w:line="360" w:lineRule="auto"/>
        <w:ind w:left="720" w:right="720"/>
        <w:jc w:val="both"/>
      </w:pPr>
      <w:r w:rsidRPr="003D1F26">
        <w:rPr>
          <w:b/>
        </w:rPr>
        <w:t xml:space="preserve">SUPPLEMENTAL FIGURE 2. Per-nucleotide base calling "errors" at the </w:t>
      </w:r>
      <w:r w:rsidRPr="003D1F26">
        <w:rPr>
          <w:b/>
          <w:i/>
        </w:rPr>
        <w:t>HAC1</w:t>
      </w:r>
      <w:r w:rsidRPr="003D1F26">
        <w:rPr>
          <w:b/>
          <w:vertAlign w:val="superscript"/>
        </w:rPr>
        <w:t>s</w:t>
      </w:r>
      <w:r w:rsidRPr="003D1F26">
        <w:rPr>
          <w:b/>
        </w:rPr>
        <w:t xml:space="preserve"> splice junction</w:t>
      </w:r>
      <w:r w:rsidRPr="003D1F26">
        <w:t>. (</w:t>
      </w:r>
      <w:r w:rsidRPr="003D1F26">
        <w:rPr>
          <w:b/>
        </w:rPr>
        <w:t>A</w:t>
      </w:r>
      <w:r w:rsidRPr="003D1F26">
        <w:t>) Mismatch frequency, (</w:t>
      </w:r>
      <w:r w:rsidRPr="003D1F26">
        <w:rPr>
          <w:b/>
        </w:rPr>
        <w:t>B</w:t>
      </w:r>
      <w:r w:rsidRPr="003D1F26">
        <w:t>) insertion frequency, (</w:t>
      </w:r>
      <w:r w:rsidRPr="003D1F26">
        <w:rPr>
          <w:b/>
        </w:rPr>
        <w:t>C</w:t>
      </w:r>
      <w:r w:rsidRPr="003D1F26">
        <w:t>) deletion frequency, and (</w:t>
      </w:r>
      <w:r w:rsidRPr="003D1F26">
        <w:rPr>
          <w:b/>
        </w:rPr>
        <w:t>D</w:t>
      </w:r>
      <w:r w:rsidRPr="003D1F26">
        <w:t xml:space="preserve">) read coverage in counts per million for eight direct RNA sequencing libraries. In each plot, the 2′-phosphorylated position is indicated by a dashed line. </w:t>
      </w:r>
    </w:p>
    <w:p w14:paraId="79898BBE" w14:textId="77777777" w:rsidR="0059266A" w:rsidRPr="003D1F26" w:rsidRDefault="0059266A" w:rsidP="0059266A">
      <w:pPr>
        <w:spacing w:line="360" w:lineRule="auto"/>
        <w:ind w:left="720" w:right="720"/>
        <w:jc w:val="both"/>
      </w:pPr>
    </w:p>
    <w:p w14:paraId="2CC2E07A" w14:textId="77777777" w:rsidR="0059266A" w:rsidRPr="003D1F26" w:rsidRDefault="0059266A" w:rsidP="0059266A">
      <w:pPr>
        <w:spacing w:line="360" w:lineRule="auto"/>
        <w:ind w:left="720" w:right="720"/>
        <w:jc w:val="both"/>
      </w:pPr>
      <w:r w:rsidRPr="003D1F26">
        <w:rPr>
          <w:b/>
        </w:rPr>
        <w:t>SUPPLEMENTAL FIGURE 3. Detection of 2′-phosphates on intron-containing tRNAs is complicated by the presence of additional tRNA modifications.</w:t>
      </w:r>
      <w:r w:rsidRPr="003D1F26">
        <w:t xml:space="preserve"> (</w:t>
      </w:r>
      <w:r w:rsidRPr="003D1F26">
        <w:rPr>
          <w:b/>
        </w:rPr>
        <w:t>A</w:t>
      </w:r>
      <w:r w:rsidRPr="003D1F26">
        <w:t xml:space="preserve">) Cloverleaf diagram of a spliced tRNA from </w:t>
      </w:r>
      <w:r w:rsidRPr="003D1F26">
        <w:rPr>
          <w:rFonts w:ascii="Arial Unicode MS" w:eastAsia="Arial Unicode MS" w:hAnsi="Arial Unicode MS" w:cs="Arial Unicode MS"/>
          <w:i/>
        </w:rPr>
        <w:t>tpt1∆</w:t>
      </w:r>
      <w:r w:rsidRPr="003D1F26">
        <w:t xml:space="preserve"> cells, indicating the 2′-phosphorylated nucleotide located immediately 3′ of the anticodon, and the 5 </w:t>
      </w:r>
      <w:proofErr w:type="spellStart"/>
      <w:r w:rsidRPr="003D1F26">
        <w:t>mer</w:t>
      </w:r>
      <w:proofErr w:type="spellEnd"/>
      <w:r w:rsidRPr="003D1F26">
        <w:t xml:space="preserve"> centered on this position in gray. (</w:t>
      </w:r>
      <w:r w:rsidRPr="003D1F26">
        <w:rPr>
          <w:b/>
        </w:rPr>
        <w:t>B</w:t>
      </w:r>
      <w:r w:rsidRPr="003D1F26">
        <w:t>) The RNA modification landscape within the indicated 5mer in (</w:t>
      </w:r>
      <w:r w:rsidRPr="003D1F26">
        <w:rPr>
          <w:b/>
        </w:rPr>
        <w:t>A</w:t>
      </w:r>
      <w:r w:rsidRPr="003D1F26">
        <w:t xml:space="preserve">) for each intron-containing tRNA in </w:t>
      </w:r>
      <w:r w:rsidRPr="003D1F26">
        <w:rPr>
          <w:i/>
        </w:rPr>
        <w:t>S. cerevisiae</w:t>
      </w:r>
      <w:r w:rsidRPr="003D1F26">
        <w:t xml:space="preserve">. Blue boxes indicate positions with known tRNA modifications in the MODOMICS database </w:t>
      </w:r>
      <w:hyperlink r:id="rId4">
        <w:r w:rsidRPr="003D1F26">
          <w:rPr>
            <w:color w:val="000000"/>
          </w:rPr>
          <w:t>(</w:t>
        </w:r>
        <w:proofErr w:type="spellStart"/>
        <w:r w:rsidRPr="003D1F26">
          <w:rPr>
            <w:color w:val="000000"/>
          </w:rPr>
          <w:t>Boccaletto</w:t>
        </w:r>
        <w:proofErr w:type="spellEnd"/>
        <w:r w:rsidRPr="003D1F26">
          <w:rPr>
            <w:color w:val="000000"/>
          </w:rPr>
          <w:t xml:space="preserve"> et al. 2022)</w:t>
        </w:r>
      </w:hyperlink>
      <w:r w:rsidRPr="003D1F26">
        <w:t>. (</w:t>
      </w:r>
      <w:r w:rsidRPr="003D1F26">
        <w:rPr>
          <w:b/>
        </w:rPr>
        <w:t>C</w:t>
      </w:r>
      <w:r w:rsidRPr="003D1F26">
        <w:t>) The 2′-phosphate on tRNA-</w:t>
      </w:r>
      <w:proofErr w:type="spellStart"/>
      <w:r w:rsidRPr="003D1F26">
        <w:t>Trp</w:t>
      </w:r>
      <w:proofErr w:type="spellEnd"/>
      <w:r w:rsidRPr="003D1F26">
        <w:t xml:space="preserve">-CCA can be detected by northern blotting for 3′-exon in total RNA from RNA repair strains treated with and without recombinant Xrn1 </w:t>
      </w:r>
      <w:r w:rsidRPr="003D1F26">
        <w:rPr>
          <w:i/>
        </w:rPr>
        <w:t>in vitro</w:t>
      </w:r>
      <w:r w:rsidRPr="003D1F26">
        <w:t xml:space="preserve">. A 3′-exon degradation intermediate accumulates in </w:t>
      </w:r>
      <w:r w:rsidRPr="003D1F26">
        <w:rPr>
          <w:rFonts w:ascii="Arial Unicode MS" w:eastAsia="Arial Unicode MS" w:hAnsi="Arial Unicode MS" w:cs="Arial Unicode MS"/>
          <w:i/>
        </w:rPr>
        <w:t>tpt1∆</w:t>
      </w:r>
      <w:r w:rsidRPr="003D1F26">
        <w:t xml:space="preserve"> (10x-tRNA) cells (band 3 in magnified panel at right), as well as two larger exonuclease-resistant bands that are also present, albeit less </w:t>
      </w:r>
      <w:r w:rsidRPr="003D1F26">
        <w:lastRenderedPageBreak/>
        <w:t xml:space="preserve">abundant, in RNA from </w:t>
      </w:r>
      <w:r w:rsidRPr="003D1F26">
        <w:rPr>
          <w:rFonts w:ascii="Arial Unicode MS" w:eastAsia="Arial Unicode MS" w:hAnsi="Arial Unicode MS" w:cs="Arial Unicode MS"/>
          <w:i/>
        </w:rPr>
        <w:t>trl1∆</w:t>
      </w:r>
      <w:r w:rsidRPr="003D1F26">
        <w:t xml:space="preserve"> (10x-tRNA) cells treated with rXrn1 (band 1 and 2 in magnified panel). The cytoplasmic methyltransferase Trm7 deposits 2′-O-methyl groups at two upstream positions within the anticodon loop of this tRNA after intron removal </w:t>
      </w:r>
      <w:hyperlink r:id="rId5">
        <w:r w:rsidRPr="003D1F26">
          <w:rPr>
            <w:color w:val="000000"/>
          </w:rPr>
          <w:t>(Jiang et al. 1997)</w:t>
        </w:r>
      </w:hyperlink>
      <w:r w:rsidRPr="003D1F26">
        <w:t xml:space="preserve"> as well as on </w:t>
      </w:r>
      <w:proofErr w:type="spellStart"/>
      <w:r w:rsidRPr="003D1F26">
        <w:t>intronless</w:t>
      </w:r>
      <w:proofErr w:type="spellEnd"/>
      <w:r w:rsidRPr="003D1F26">
        <w:t xml:space="preserve"> substrates </w:t>
      </w:r>
      <w:hyperlink r:id="rId6">
        <w:r w:rsidRPr="003D1F26">
          <w:rPr>
            <w:color w:val="000000"/>
          </w:rPr>
          <w:t>(Pintard et al. 2002)</w:t>
        </w:r>
      </w:hyperlink>
      <w:r w:rsidRPr="003D1F26">
        <w:t xml:space="preserve">, and 2′-O-methyl groups also inhibit Xrn1 </w:t>
      </w:r>
      <w:hyperlink r:id="rId7">
        <w:r w:rsidRPr="003D1F26">
          <w:rPr>
            <w:color w:val="000000"/>
          </w:rPr>
          <w:t>(Whipple et al. 2011)</w:t>
        </w:r>
      </w:hyperlink>
      <w:r w:rsidRPr="003D1F26">
        <w:t>, albeit less robustly than 2′-phosphates (</w:t>
      </w:r>
      <w:r w:rsidRPr="003D1F26">
        <w:rPr>
          <w:b/>
        </w:rPr>
        <w:t>Fig. 1b</w:t>
      </w:r>
      <w:r w:rsidRPr="003D1F26">
        <w:t xml:space="preserve">), thus, it is possible that these larger bands are produced by 2′-O-methyl-mediated rXrn1 inhibition. However, in the context of a </w:t>
      </w:r>
      <w:r w:rsidRPr="003D1F26">
        <w:rPr>
          <w:rFonts w:ascii="Arial Unicode MS" w:eastAsia="Arial Unicode MS" w:hAnsi="Arial Unicode MS" w:cs="Arial Unicode MS"/>
          <w:i/>
        </w:rPr>
        <w:t>trl1∆ tpt1∆</w:t>
      </w:r>
      <w:r w:rsidRPr="003D1F26">
        <w:t xml:space="preserve"> double mutant, these degradation intermediates do not accumulate, raising the possibility of additional crosstalk between tRNA splicing and tRNA modification pathways. In the lower sub-panel, the same membrane has been stripped and </w:t>
      </w:r>
      <w:proofErr w:type="spellStart"/>
      <w:r w:rsidRPr="003D1F26">
        <w:t>reprobed</w:t>
      </w:r>
      <w:proofErr w:type="spellEnd"/>
      <w:r w:rsidRPr="003D1F26">
        <w:t xml:space="preserve"> for 5S rRNA as a loading control for use in the densitometry analysis below. (</w:t>
      </w:r>
      <w:r w:rsidRPr="003D1F26">
        <w:rPr>
          <w:b/>
        </w:rPr>
        <w:t>D</w:t>
      </w:r>
      <w:r w:rsidRPr="003D1F26">
        <w:t xml:space="preserve">) IGV snapshots of direct tRNA sequencing reads mapping to intron-containing </w:t>
      </w:r>
      <w:r w:rsidRPr="003D1F26">
        <w:rPr>
          <w:i/>
        </w:rPr>
        <w:t>S. cerevisiae</w:t>
      </w:r>
      <w:r w:rsidRPr="003D1F26">
        <w:t xml:space="preserve"> tRNAs. Each colored bar represents a position with &gt;20% mismatching to the reference base; gray bars indicate positions which did not exceed this threshold. Numbers in brackets at right indicate the Y axis range in read counts, and tRNA anticodons are surrounded by a black box. Modified positions reported in MODOMICS </w:t>
      </w:r>
      <w:hyperlink r:id="rId8">
        <w:r w:rsidRPr="003D1F26">
          <w:rPr>
            <w:color w:val="000000"/>
          </w:rPr>
          <w:t>(</w:t>
        </w:r>
        <w:proofErr w:type="spellStart"/>
        <w:r w:rsidRPr="003D1F26">
          <w:rPr>
            <w:color w:val="000000"/>
          </w:rPr>
          <w:t>Boccaletto</w:t>
        </w:r>
        <w:proofErr w:type="spellEnd"/>
        <w:r w:rsidRPr="003D1F26">
          <w:rPr>
            <w:color w:val="000000"/>
          </w:rPr>
          <w:t xml:space="preserve"> et al. 2022)</w:t>
        </w:r>
      </w:hyperlink>
      <w:r w:rsidRPr="003D1F26">
        <w:t xml:space="preserve"> are annotated below the reference sequence. To the right of select IGV alignment views are northern blots of total RNA from </w:t>
      </w:r>
      <w:r w:rsidRPr="003D1F26">
        <w:rPr>
          <w:i/>
        </w:rPr>
        <w:t>S. cerevisiae</w:t>
      </w:r>
      <w:r w:rsidRPr="003D1F26">
        <w:t xml:space="preserve"> strains treated with and without recombinant Xrn1 </w:t>
      </w:r>
      <w:r w:rsidRPr="003D1F26">
        <w:rPr>
          <w:i/>
        </w:rPr>
        <w:t>in vitro</w:t>
      </w:r>
      <w:r w:rsidRPr="003D1F26">
        <w:t xml:space="preserve">, using a 3′-exon hybridizing probe.    </w:t>
      </w:r>
    </w:p>
    <w:p w14:paraId="4B2A63E3" w14:textId="77777777" w:rsidR="0059266A" w:rsidRPr="003D1F26" w:rsidRDefault="0059266A" w:rsidP="0059266A">
      <w:pPr>
        <w:spacing w:line="360" w:lineRule="auto"/>
        <w:ind w:left="720" w:right="720"/>
        <w:jc w:val="both"/>
        <w:rPr>
          <w:b/>
        </w:rPr>
      </w:pPr>
    </w:p>
    <w:p w14:paraId="3446E4D1" w14:textId="77777777" w:rsidR="0059266A" w:rsidRPr="003D1F26" w:rsidRDefault="0059266A" w:rsidP="0059266A">
      <w:pPr>
        <w:spacing w:line="360" w:lineRule="auto"/>
        <w:ind w:left="720" w:right="720"/>
        <w:jc w:val="both"/>
      </w:pPr>
      <w:r w:rsidRPr="003D1F26">
        <w:rPr>
          <w:b/>
        </w:rPr>
        <w:t xml:space="preserve">SUPPLEMENTAL FIGURE 4. </w:t>
      </w:r>
      <w:r w:rsidRPr="003D1F26">
        <w:t>(</w:t>
      </w:r>
      <w:r w:rsidRPr="003D1F26">
        <w:rPr>
          <w:b/>
        </w:rPr>
        <w:t>A</w:t>
      </w:r>
      <w:r w:rsidRPr="003D1F26">
        <w:t xml:space="preserve">) Strategy for generation of a 2′-phosphate containing synthetic RNA oligonucleotide for direct RNA sequencing. Flanking oligos AB and CD were ligated to the 2′-phosphorylated or unmodified central 26 nucleotide oligo via a T4 RNL2 splinted ligation, treated with DNase I to destroy the splint, and gel purified to retain only the full 86 </w:t>
      </w:r>
      <w:proofErr w:type="spellStart"/>
      <w:r w:rsidRPr="003D1F26">
        <w:t>nt</w:t>
      </w:r>
      <w:proofErr w:type="spellEnd"/>
      <w:r w:rsidRPr="003D1F26">
        <w:t xml:space="preserve"> product, which was prepared for direct RNA sequencing on nanopore beginning with the RTA adapter ligation step. (</w:t>
      </w:r>
      <w:r w:rsidRPr="003D1F26">
        <w:rPr>
          <w:b/>
        </w:rPr>
        <w:t>B</w:t>
      </w:r>
      <w:r w:rsidRPr="003D1F26">
        <w:t xml:space="preserve">) Representation of this synthetic oligonucleotide with the 2′-phosphorylated nucleotide as position 0, within the context of an R9.4 nanopore with a docked motor protein. As the modified nucleotide at position 0 is entering the helicase, the nanopore is sensing positions 11-13 nucleotides downstream within the reader head. </w:t>
      </w:r>
    </w:p>
    <w:p w14:paraId="1EC4E83D" w14:textId="77777777" w:rsidR="0059266A" w:rsidRPr="003D1F26" w:rsidRDefault="0059266A" w:rsidP="0059266A">
      <w:pPr>
        <w:spacing w:after="180" w:line="360" w:lineRule="auto"/>
        <w:ind w:left="720" w:right="720"/>
        <w:jc w:val="both"/>
      </w:pPr>
    </w:p>
    <w:p w14:paraId="030E3C7D" w14:textId="77777777" w:rsidR="0059266A" w:rsidRPr="003D1F26" w:rsidRDefault="0059266A" w:rsidP="0059266A">
      <w:pPr>
        <w:spacing w:line="360" w:lineRule="auto"/>
        <w:ind w:left="720" w:right="720"/>
        <w:jc w:val="both"/>
      </w:pPr>
      <w:r w:rsidRPr="003D1F26">
        <w:rPr>
          <w:b/>
        </w:rPr>
        <w:lastRenderedPageBreak/>
        <w:t xml:space="preserve">SUPPLEMENTAL FIGURE 5. </w:t>
      </w:r>
      <w:r w:rsidRPr="003D1F26">
        <w:t xml:space="preserve">Comparison of direct RNA sequencing signal footprints (base calling quality score, dwell time, current intensity, and mismatch frequency) across analogous windows surrounding the 2′-phosphate on </w:t>
      </w:r>
      <w:r w:rsidRPr="003D1F26">
        <w:rPr>
          <w:i/>
        </w:rPr>
        <w:t>HAC1</w:t>
      </w:r>
      <w:r w:rsidRPr="003D1F26">
        <w:rPr>
          <w:vertAlign w:val="superscript"/>
        </w:rPr>
        <w:t>s</w:t>
      </w:r>
      <w:r w:rsidRPr="003D1F26">
        <w:t xml:space="preserve"> and the synthetic RNA substrate. Asterisks above the box plots indicate statistically significant differences in the per-nucleotide distribution of signals between modified and unmodified RNA, as calculated by a Kruskal-</w:t>
      </w:r>
      <w:proofErr w:type="gramStart"/>
      <w:r w:rsidRPr="003D1F26">
        <w:t>Wallis</w:t>
      </w:r>
      <w:proofErr w:type="gramEnd"/>
      <w:r w:rsidRPr="003D1F26">
        <w:t xml:space="preserve"> test with a </w:t>
      </w:r>
      <w:r w:rsidRPr="003D1F26">
        <w:rPr>
          <w:i/>
        </w:rPr>
        <w:t>post hoc</w:t>
      </w:r>
      <w:r w:rsidRPr="003D1F26">
        <w:t xml:space="preserve"> Bonferroni correction.</w:t>
      </w:r>
    </w:p>
    <w:p w14:paraId="54333018" w14:textId="77777777" w:rsidR="0059266A" w:rsidRPr="003D1F26" w:rsidRDefault="0059266A" w:rsidP="0059266A">
      <w:pPr>
        <w:spacing w:line="360" w:lineRule="auto"/>
        <w:ind w:left="720" w:right="720"/>
        <w:jc w:val="both"/>
        <w:rPr>
          <w:b/>
        </w:rPr>
      </w:pPr>
    </w:p>
    <w:p w14:paraId="4AC8FAC3" w14:textId="77777777" w:rsidR="0059266A" w:rsidRPr="003D1F26" w:rsidRDefault="0059266A" w:rsidP="0059266A">
      <w:pPr>
        <w:spacing w:line="360" w:lineRule="auto"/>
        <w:ind w:left="720" w:right="720"/>
        <w:jc w:val="both"/>
      </w:pPr>
      <w:r w:rsidRPr="003D1F26">
        <w:rPr>
          <w:b/>
        </w:rPr>
        <w:t xml:space="preserve">SUPPLEMENTAL FIGURE 6. </w:t>
      </w:r>
      <w:r w:rsidRPr="003D1F26">
        <w:t xml:space="preserve">Scatter plot of the difference in mean current intensity vs. difference in mean dwell time for modified and unmodified RNAs across a window extending from 10 </w:t>
      </w:r>
      <w:proofErr w:type="spellStart"/>
      <w:r w:rsidRPr="003D1F26">
        <w:t>nt</w:t>
      </w:r>
      <w:proofErr w:type="spellEnd"/>
      <w:r w:rsidRPr="003D1F26">
        <w:t xml:space="preserve"> 5′ of the modified position to 20 </w:t>
      </w:r>
      <w:proofErr w:type="spellStart"/>
      <w:r w:rsidRPr="003D1F26">
        <w:t>nt</w:t>
      </w:r>
      <w:proofErr w:type="spellEnd"/>
      <w:r w:rsidRPr="003D1F26">
        <w:t xml:space="preserve"> 3′ of the modified site. Each dot represents an individual position across the window of interest.</w:t>
      </w:r>
    </w:p>
    <w:p w14:paraId="1B48E6DB" w14:textId="77777777" w:rsidR="0059266A" w:rsidRPr="003D1F26" w:rsidRDefault="0059266A" w:rsidP="0059266A">
      <w:pPr>
        <w:spacing w:line="360" w:lineRule="auto"/>
        <w:ind w:left="720" w:right="720"/>
        <w:jc w:val="both"/>
        <w:rPr>
          <w:b/>
        </w:rPr>
      </w:pPr>
    </w:p>
    <w:p w14:paraId="56CD1522" w14:textId="77777777" w:rsidR="0059266A" w:rsidRPr="003D1F26" w:rsidRDefault="0059266A" w:rsidP="0059266A">
      <w:pPr>
        <w:spacing w:line="360" w:lineRule="auto"/>
        <w:ind w:left="720" w:right="720"/>
        <w:jc w:val="both"/>
      </w:pPr>
      <w:r w:rsidRPr="003D1F26">
        <w:rPr>
          <w:b/>
        </w:rPr>
        <w:t xml:space="preserve">SUPPLEMENTAL FIGURE 7. </w:t>
      </w:r>
      <w:r w:rsidRPr="003D1F26">
        <w:t>Lower stoichiometry modifications can mask signals of 2´-phosphorylation. (</w:t>
      </w:r>
      <w:r w:rsidRPr="003D1F26">
        <w:rPr>
          <w:b/>
        </w:rPr>
        <w:t>A</w:t>
      </w:r>
      <w:r w:rsidRPr="003D1F26">
        <w:t>) Mean dwell time in milliseconds for 100% unmodified (blue), 100% modified (orange), or an equimolar input of unmodified and 2´-phosphorylated synthetic RNA substrates. The vertical black dashed line indicates the 2´-phosphorylated position (</w:t>
      </w:r>
      <w:proofErr w:type="spellStart"/>
      <w:r w:rsidRPr="003D1F26">
        <w:t>nt</w:t>
      </w:r>
      <w:proofErr w:type="spellEnd"/>
      <w:r w:rsidRPr="003D1F26">
        <w:t xml:space="preserve"> 41), and the red dashed line indicates the max increase in dwell time seen on this RNA substrate (</w:t>
      </w:r>
      <w:proofErr w:type="spellStart"/>
      <w:r w:rsidRPr="003D1F26">
        <w:t>nt</w:t>
      </w:r>
      <w:proofErr w:type="spellEnd"/>
      <w:r w:rsidRPr="003D1F26">
        <w:t xml:space="preserve"> 52). (</w:t>
      </w:r>
      <w:r w:rsidRPr="003D1F26">
        <w:rPr>
          <w:b/>
        </w:rPr>
        <w:t>B</w:t>
      </w:r>
      <w:r w:rsidRPr="003D1F26">
        <w:t>) Median dwell times for the same libraries, plotted as in (</w:t>
      </w:r>
      <w:r w:rsidRPr="003D1F26">
        <w:rPr>
          <w:b/>
        </w:rPr>
        <w:t>A</w:t>
      </w:r>
      <w:r w:rsidRPr="003D1F26">
        <w:t>). (</w:t>
      </w:r>
      <w:r w:rsidRPr="003D1F26">
        <w:rPr>
          <w:b/>
        </w:rPr>
        <w:t>C</w:t>
      </w:r>
      <w:r w:rsidRPr="003D1F26">
        <w:t xml:space="preserve">) Distribution of dwell times across the same libraries at nucleotide 52 shows statistically significant differences between all three libraries as determined by a two sample </w:t>
      </w:r>
      <w:r w:rsidRPr="003D1F26">
        <w:rPr>
          <w:color w:val="202122"/>
          <w:sz w:val="21"/>
          <w:szCs w:val="21"/>
        </w:rPr>
        <w:t>Kolmogorov–Smirnov test. (</w:t>
      </w:r>
      <w:r w:rsidRPr="003D1F26">
        <w:rPr>
          <w:b/>
          <w:color w:val="202122"/>
          <w:sz w:val="21"/>
          <w:szCs w:val="21"/>
        </w:rPr>
        <w:t>D</w:t>
      </w:r>
      <w:r w:rsidRPr="003D1F26">
        <w:rPr>
          <w:color w:val="202122"/>
          <w:sz w:val="21"/>
          <w:szCs w:val="21"/>
        </w:rPr>
        <w:t>) Distribution of dwell times between unmodified RNA and the 50/50 mixture of 2´-phosphorylated and unmodified RNA, plotted by position. A Bonferroni-corrected Kruskal-</w:t>
      </w:r>
      <w:proofErr w:type="gramStart"/>
      <w:r w:rsidRPr="003D1F26">
        <w:rPr>
          <w:color w:val="202122"/>
          <w:sz w:val="21"/>
          <w:szCs w:val="21"/>
        </w:rPr>
        <w:t>Wallis</w:t>
      </w:r>
      <w:proofErr w:type="gramEnd"/>
      <w:r w:rsidRPr="003D1F26">
        <w:rPr>
          <w:color w:val="202122"/>
          <w:sz w:val="21"/>
          <w:szCs w:val="21"/>
        </w:rPr>
        <w:t xml:space="preserve"> test of the distribution in dwell times across this window identified statistically significant differences at positions 41, 52, and 57.</w:t>
      </w:r>
    </w:p>
    <w:p w14:paraId="14B08E53" w14:textId="77777777" w:rsidR="0059266A" w:rsidRPr="003D1F26" w:rsidRDefault="0059266A" w:rsidP="0059266A">
      <w:pPr>
        <w:spacing w:line="360" w:lineRule="auto"/>
        <w:ind w:left="720" w:right="720"/>
        <w:jc w:val="both"/>
        <w:rPr>
          <w:b/>
        </w:rPr>
      </w:pPr>
    </w:p>
    <w:p w14:paraId="5450B8E1" w14:textId="77777777" w:rsidR="0059266A" w:rsidRPr="003D1F26" w:rsidRDefault="0059266A" w:rsidP="0059266A">
      <w:pPr>
        <w:spacing w:line="360" w:lineRule="auto"/>
        <w:ind w:left="720" w:right="720"/>
        <w:jc w:val="both"/>
      </w:pPr>
      <w:r w:rsidRPr="003D1F26">
        <w:rPr>
          <w:b/>
        </w:rPr>
        <w:t xml:space="preserve">SUPPLEMENTAL FIGURE 8. </w:t>
      </w:r>
      <w:proofErr w:type="spellStart"/>
      <w:r w:rsidRPr="003D1F26">
        <w:t>Resquiggling</w:t>
      </w:r>
      <w:proofErr w:type="spellEnd"/>
      <w:r w:rsidRPr="003D1F26">
        <w:t xml:space="preserve"> may produce unexpected positional discrepancies depending on the software used.</w:t>
      </w:r>
      <w:r w:rsidRPr="003D1F26">
        <w:rPr>
          <w:b/>
        </w:rPr>
        <w:t xml:space="preserve"> </w:t>
      </w:r>
      <w:r w:rsidRPr="003D1F26">
        <w:t>(</w:t>
      </w:r>
      <w:r w:rsidRPr="003D1F26">
        <w:rPr>
          <w:b/>
        </w:rPr>
        <w:t>A</w:t>
      </w:r>
      <w:r w:rsidRPr="003D1F26">
        <w:t xml:space="preserve">) A reanalysis of direct RNA sequencing of </w:t>
      </w:r>
      <w:r w:rsidRPr="003D1F26">
        <w:rPr>
          <w:i/>
        </w:rPr>
        <w:t xml:space="preserve">S. cerevisiae </w:t>
      </w:r>
      <w:r w:rsidRPr="003D1F26">
        <w:t xml:space="preserve">rRNA from </w:t>
      </w:r>
      <w:hyperlink r:id="rId9">
        <w:r w:rsidRPr="003D1F26">
          <w:rPr>
            <w:color w:val="000000"/>
          </w:rPr>
          <w:t>(Stephenson et al. 2022)</w:t>
        </w:r>
      </w:hyperlink>
      <w:r w:rsidRPr="003D1F26">
        <w:t xml:space="preserve"> around the methylated nucleotide at site 2220 (</w:t>
      </w:r>
      <w:r w:rsidRPr="003D1F26">
        <w:rPr>
          <w:b/>
        </w:rPr>
        <w:t>*</w:t>
      </w:r>
      <w:r w:rsidRPr="003D1F26">
        <w:t xml:space="preserve">) shows a peak in dwell time at the </w:t>
      </w:r>
      <w:proofErr w:type="gramStart"/>
      <w:r w:rsidRPr="003D1F26">
        <w:t>+11 nucleotide</w:t>
      </w:r>
      <w:proofErr w:type="gramEnd"/>
      <w:r w:rsidRPr="003D1F26">
        <w:t xml:space="preserve"> position (</w:t>
      </w:r>
      <w:r w:rsidRPr="003D1F26">
        <w:rPr>
          <w:b/>
        </w:rPr>
        <w:t>^</w:t>
      </w:r>
      <w:r w:rsidRPr="003D1F26">
        <w:t>) rather than +10 nucleotides as previously reported. (</w:t>
      </w:r>
      <w:r w:rsidRPr="003D1F26">
        <w:rPr>
          <w:b/>
        </w:rPr>
        <w:t>B</w:t>
      </w:r>
      <w:r w:rsidRPr="003D1F26">
        <w:t xml:space="preserve">) A schematic comparing how the software tools </w:t>
      </w:r>
      <w:proofErr w:type="spellStart"/>
      <w:r w:rsidRPr="003D1F26">
        <w:t>Tombo</w:t>
      </w:r>
      <w:proofErr w:type="spellEnd"/>
      <w:r w:rsidRPr="003D1F26">
        <w:t xml:space="preserve"> and </w:t>
      </w:r>
      <w:proofErr w:type="spellStart"/>
      <w:r w:rsidRPr="003D1F26">
        <w:t>Nanopolish</w:t>
      </w:r>
      <w:proofErr w:type="spellEnd"/>
      <w:r w:rsidRPr="003D1F26">
        <w:t xml:space="preserve"> annotate </w:t>
      </w:r>
      <w:r w:rsidRPr="003D1F26">
        <w:lastRenderedPageBreak/>
        <w:t xml:space="preserve">positions after </w:t>
      </w:r>
      <w:proofErr w:type="spellStart"/>
      <w:r w:rsidRPr="003D1F26">
        <w:t>resquiggling</w:t>
      </w:r>
      <w:proofErr w:type="spellEnd"/>
      <w:r w:rsidRPr="003D1F26">
        <w:t xml:space="preserve"> nanopore data. Note that neither tool outputs positions using one-based counting in nucleotide sequence space (top line); therefore, we surmise the previous analysis of the data in (</w:t>
      </w:r>
      <w:r w:rsidRPr="003D1F26">
        <w:rPr>
          <w:b/>
        </w:rPr>
        <w:t>A</w:t>
      </w:r>
      <w:r w:rsidRPr="003D1F26">
        <w:t xml:space="preserve">) began counting at nucleotide zero, accounting for the </w:t>
      </w:r>
      <w:proofErr w:type="gramStart"/>
      <w:r w:rsidRPr="003D1F26">
        <w:t>+1 nucleotide</w:t>
      </w:r>
      <w:proofErr w:type="gramEnd"/>
      <w:r w:rsidRPr="003D1F26">
        <w:t xml:space="preserve"> difference between these analyses.</w:t>
      </w:r>
      <w:r w:rsidRPr="003D1F26">
        <w:br w:type="page"/>
      </w:r>
    </w:p>
    <w:p w14:paraId="37D16874" w14:textId="77777777" w:rsidR="0059266A" w:rsidRPr="003D1F26" w:rsidRDefault="0059266A" w:rsidP="0059266A">
      <w:pPr>
        <w:pStyle w:val="Heading1"/>
      </w:pPr>
      <w:bookmarkStart w:id="0" w:name="_y4xbasr689ce" w:colFirst="0" w:colLast="0"/>
      <w:bookmarkEnd w:id="0"/>
      <w:r w:rsidRPr="003D1F26">
        <w:lastRenderedPageBreak/>
        <w:t>Supplemental Tables</w:t>
      </w:r>
    </w:p>
    <w:p w14:paraId="77A10660" w14:textId="77777777" w:rsidR="0059266A" w:rsidRPr="003D1F26" w:rsidRDefault="0059266A" w:rsidP="0059266A">
      <w:pPr>
        <w:spacing w:line="360" w:lineRule="auto"/>
        <w:ind w:left="720" w:right="720"/>
        <w:jc w:val="both"/>
        <w:rPr>
          <w:b/>
        </w:rPr>
      </w:pPr>
      <w:r w:rsidRPr="003D1F26">
        <w:rPr>
          <w:i/>
        </w:rPr>
        <w:t xml:space="preserve">See attached </w:t>
      </w:r>
      <w:proofErr w:type="spellStart"/>
      <w:r w:rsidRPr="003D1F26">
        <w:rPr>
          <w:i/>
        </w:rPr>
        <w:t>xlxs</w:t>
      </w:r>
      <w:proofErr w:type="spellEnd"/>
      <w:r w:rsidRPr="003D1F26">
        <w:rPr>
          <w:i/>
        </w:rPr>
        <w:t xml:space="preserve"> file (1 table per tab)</w:t>
      </w:r>
      <w:r w:rsidRPr="003D1F26">
        <w:rPr>
          <w:b/>
        </w:rPr>
        <w:t>.</w:t>
      </w:r>
    </w:p>
    <w:p w14:paraId="777E81B7" w14:textId="77777777" w:rsidR="0059266A" w:rsidRPr="003D1F26" w:rsidRDefault="0059266A" w:rsidP="0059266A">
      <w:pPr>
        <w:spacing w:line="360" w:lineRule="auto"/>
        <w:ind w:left="720" w:right="720"/>
        <w:jc w:val="both"/>
        <w:rPr>
          <w:b/>
        </w:rPr>
      </w:pPr>
    </w:p>
    <w:p w14:paraId="4B433899" w14:textId="77777777" w:rsidR="0059266A" w:rsidRPr="003D1F26" w:rsidRDefault="0059266A" w:rsidP="0059266A">
      <w:pPr>
        <w:spacing w:line="360" w:lineRule="auto"/>
        <w:ind w:left="720" w:right="720"/>
        <w:jc w:val="both"/>
      </w:pPr>
      <w:r w:rsidRPr="003D1F26">
        <w:rPr>
          <w:b/>
        </w:rPr>
        <w:t xml:space="preserve">SUPPLEMENTAL TABLE 1 - </w:t>
      </w:r>
      <w:r w:rsidRPr="003D1F26">
        <w:t>Library metrics and metadata for biological samples.</w:t>
      </w:r>
    </w:p>
    <w:p w14:paraId="6CDF2DCE" w14:textId="77777777" w:rsidR="0059266A" w:rsidRPr="003D1F26" w:rsidRDefault="0059266A" w:rsidP="0059266A">
      <w:pPr>
        <w:spacing w:before="200" w:line="360" w:lineRule="auto"/>
        <w:ind w:left="720" w:right="720"/>
        <w:jc w:val="both"/>
      </w:pPr>
      <w:r w:rsidRPr="003D1F26">
        <w:rPr>
          <w:b/>
        </w:rPr>
        <w:t xml:space="preserve">SUPPLEMENTAL TABLE 2 - </w:t>
      </w:r>
      <w:r w:rsidRPr="003D1F26">
        <w:t>Additional metadata and barcodes for multiplexed sequencing runs.</w:t>
      </w:r>
    </w:p>
    <w:p w14:paraId="48ED2B13" w14:textId="77777777" w:rsidR="0059266A" w:rsidRPr="003D1F26" w:rsidRDefault="0059266A" w:rsidP="0059266A">
      <w:pPr>
        <w:spacing w:before="200" w:line="360" w:lineRule="auto"/>
        <w:ind w:left="720" w:right="720"/>
        <w:jc w:val="both"/>
        <w:rPr>
          <w:b/>
        </w:rPr>
      </w:pPr>
      <w:r w:rsidRPr="003D1F26">
        <w:rPr>
          <w:b/>
        </w:rPr>
        <w:t xml:space="preserve">SUPPLEMENTAL TABLE 3 - </w:t>
      </w:r>
      <w:r w:rsidRPr="003D1F26">
        <w:t xml:space="preserve">mRNAs with high levels of genotype-specific read termination due to unblocking events in libraries from tunicamycin treated </w:t>
      </w:r>
      <w:r w:rsidRPr="003D1F26">
        <w:rPr>
          <w:rFonts w:ascii="Arial Unicode MS" w:eastAsia="Arial Unicode MS" w:hAnsi="Arial Unicode MS" w:cs="Arial Unicode MS"/>
          <w:i/>
        </w:rPr>
        <w:t xml:space="preserve">xrn1∆ tpt1∆ </w:t>
      </w:r>
      <w:r w:rsidRPr="003D1F26">
        <w:t>(10x) vs. wild-type cells.</w:t>
      </w:r>
    </w:p>
    <w:p w14:paraId="4D9A5FD4" w14:textId="77777777" w:rsidR="0059266A" w:rsidRPr="003D1F26" w:rsidRDefault="0059266A" w:rsidP="0059266A">
      <w:pPr>
        <w:spacing w:before="200" w:line="360" w:lineRule="auto"/>
        <w:ind w:left="720" w:right="720"/>
        <w:jc w:val="both"/>
      </w:pPr>
      <w:r w:rsidRPr="003D1F26">
        <w:rPr>
          <w:b/>
        </w:rPr>
        <w:t xml:space="preserve">SUPPLEMENTAL TABLE 4 - </w:t>
      </w:r>
      <w:r w:rsidRPr="003D1F26">
        <w:t>Oligonucleotides used in this study.</w:t>
      </w:r>
    </w:p>
    <w:p w14:paraId="365B1F62" w14:textId="77777777" w:rsidR="0059266A" w:rsidRPr="003D1F26" w:rsidRDefault="0059266A" w:rsidP="0059266A">
      <w:pPr>
        <w:spacing w:before="200" w:line="360" w:lineRule="auto"/>
        <w:ind w:left="720" w:right="720"/>
        <w:jc w:val="both"/>
      </w:pPr>
      <w:r w:rsidRPr="003D1F26">
        <w:rPr>
          <w:b/>
        </w:rPr>
        <w:t xml:space="preserve">SUPPLEMENTAL TABLE 5 - </w:t>
      </w:r>
      <w:r w:rsidRPr="003D1F26">
        <w:t>Yeast strain numbers and genotypes.</w:t>
      </w:r>
    </w:p>
    <w:p w14:paraId="60CFC47F" w14:textId="77777777" w:rsidR="0059266A" w:rsidRPr="003D1F26" w:rsidRDefault="0059266A" w:rsidP="0059266A">
      <w:pPr>
        <w:spacing w:before="200" w:line="360" w:lineRule="auto"/>
        <w:ind w:left="720" w:right="720"/>
        <w:jc w:val="both"/>
      </w:pPr>
      <w:r w:rsidRPr="003D1F26">
        <w:rPr>
          <w:b/>
        </w:rPr>
        <w:t xml:space="preserve">SUPPLEMENTAL TABLE 6 - </w:t>
      </w:r>
      <w:r w:rsidRPr="003D1F26">
        <w:t>Metadata for files uploaded to SRA.</w:t>
      </w:r>
    </w:p>
    <w:p w14:paraId="6A182166" w14:textId="77777777" w:rsidR="00D97470" w:rsidRDefault="00D97470"/>
    <w:sectPr w:rsidR="00D97470" w:rsidSect="00E80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6A"/>
    <w:rsid w:val="0059266A"/>
    <w:rsid w:val="00D97470"/>
    <w:rsid w:val="00E8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FC028"/>
  <w15:chartTrackingRefBased/>
  <w15:docId w15:val="{C553390F-1A66-6542-90B6-7F5D1D77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66A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266A"/>
    <w:pPr>
      <w:keepNext/>
      <w:keepLines/>
      <w:spacing w:before="400" w:after="120" w:line="360" w:lineRule="auto"/>
      <w:ind w:left="720" w:right="720"/>
      <w:jc w:val="both"/>
      <w:outlineLvl w:val="0"/>
    </w:pPr>
    <w:rPr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66A"/>
    <w:rPr>
      <w:rFonts w:ascii="Arial" w:eastAsia="Arial" w:hAnsi="Arial" w:cs="Arial"/>
      <w:b/>
      <w:sz w:val="36"/>
      <w:szCs w:val="3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perpile.com/c/J8TZ2e/aFx0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perpile.com/c/J8TZ2e/tydM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perpile.com/c/J8TZ2e/cP9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aperpile.com/c/J8TZ2e/cQp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aperpile.com/c/J8TZ2e/aFx0K" TargetMode="External"/><Relationship Id="rId9" Type="http://schemas.openxmlformats.org/officeDocument/2006/relationships/hyperlink" Target="https://paperpile.com/c/J8TZ2e/ccZz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1238</Words>
  <Characters>7063</Characters>
  <Application>Microsoft Office Word</Application>
  <DocSecurity>0</DocSecurity>
  <Lines>58</Lines>
  <Paragraphs>16</Paragraphs>
  <ScaleCrop>false</ScaleCrop>
  <Company/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2023-02-28T18:06:00Z</dcterms:created>
  <dcterms:modified xsi:type="dcterms:W3CDTF">2023-02-28T18:06:00Z</dcterms:modified>
</cp:coreProperties>
</file>