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2F69" w14:textId="77777777" w:rsidR="002A440C" w:rsidRPr="00D134FF" w:rsidRDefault="002A440C" w:rsidP="002A440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Figure 1</w:t>
      </w:r>
      <w:r>
        <w:rPr>
          <w:rFonts w:ascii="Arial" w:hAnsi="Arial" w:cs="Arial"/>
          <w:sz w:val="22"/>
          <w:szCs w:val="22"/>
        </w:rPr>
        <w:t xml:space="preserve"> Raw count profiles of 3 additional intron lariats that are elevated in DFO treated cells.  The read density fall-off at the 5′ and 3′ intron boundaries is characteristic of lariat RNA.  The introns shows are </w:t>
      </w:r>
      <w:r w:rsidRPr="008B691D">
        <w:rPr>
          <w:rFonts w:ascii="Arial" w:hAnsi="Arial" w:cs="Arial"/>
          <w:i/>
          <w:iCs/>
          <w:sz w:val="22"/>
          <w:szCs w:val="22"/>
        </w:rPr>
        <w:t>QRICH</w:t>
      </w:r>
      <w:r>
        <w:rPr>
          <w:rFonts w:ascii="Arial" w:hAnsi="Arial" w:cs="Arial"/>
          <w:sz w:val="22"/>
          <w:szCs w:val="22"/>
        </w:rPr>
        <w:t xml:space="preserve"> intron 8, </w:t>
      </w:r>
      <w:r w:rsidRPr="008B691D">
        <w:rPr>
          <w:rFonts w:ascii="Arial" w:hAnsi="Arial" w:cs="Arial"/>
          <w:i/>
          <w:iCs/>
          <w:sz w:val="22"/>
          <w:szCs w:val="22"/>
        </w:rPr>
        <w:t>CD40</w:t>
      </w:r>
      <w:r>
        <w:rPr>
          <w:rFonts w:ascii="Arial" w:hAnsi="Arial" w:cs="Arial"/>
          <w:sz w:val="22"/>
          <w:szCs w:val="22"/>
        </w:rPr>
        <w:t xml:space="preserve"> intron 3, and </w:t>
      </w:r>
      <w:r w:rsidRPr="008B691D">
        <w:rPr>
          <w:rFonts w:ascii="Arial" w:hAnsi="Arial" w:cs="Arial"/>
          <w:i/>
          <w:iCs/>
          <w:sz w:val="22"/>
          <w:szCs w:val="22"/>
        </w:rPr>
        <w:t>NELFB</w:t>
      </w:r>
      <w:r>
        <w:rPr>
          <w:rFonts w:ascii="Arial" w:hAnsi="Arial" w:cs="Arial"/>
          <w:sz w:val="22"/>
          <w:szCs w:val="22"/>
        </w:rPr>
        <w:t xml:space="preserve"> intron 11.</w:t>
      </w:r>
    </w:p>
    <w:p w14:paraId="1F07B101" w14:textId="77777777" w:rsidR="002A440C" w:rsidRPr="00422E10" w:rsidRDefault="002A440C" w:rsidP="002A440C">
      <w:pPr>
        <w:spacing w:line="480" w:lineRule="auto"/>
        <w:rPr>
          <w:rFonts w:ascii="Arial" w:hAnsi="Arial" w:cs="Arial"/>
          <w:sz w:val="22"/>
          <w:szCs w:val="22"/>
        </w:rPr>
      </w:pPr>
      <w:r w:rsidRPr="00422E10">
        <w:rPr>
          <w:rFonts w:ascii="Arial" w:hAnsi="Arial" w:cs="Arial"/>
          <w:b/>
          <w:bCs/>
          <w:sz w:val="22"/>
          <w:szCs w:val="22"/>
        </w:rPr>
        <w:t xml:space="preserve">Supplemental Table 1 </w:t>
      </w:r>
      <w:r w:rsidRPr="00422E10">
        <w:rPr>
          <w:rFonts w:ascii="Arial" w:hAnsi="Arial" w:cs="Arial"/>
          <w:sz w:val="22"/>
          <w:szCs w:val="22"/>
        </w:rPr>
        <w:t>Concentrations of metal ions in water and media were measured with ICP-MS.</w:t>
      </w:r>
      <w:r>
        <w:rPr>
          <w:rFonts w:ascii="Arial" w:hAnsi="Arial" w:cs="Arial"/>
          <w:sz w:val="22"/>
          <w:szCs w:val="22"/>
        </w:rPr>
        <w:t xml:space="preserve"> </w:t>
      </w:r>
      <w:r w:rsidRPr="00422E10">
        <w:rPr>
          <w:rFonts w:ascii="Arial" w:hAnsi="Arial" w:cs="Arial"/>
          <w:sz w:val="22"/>
          <w:szCs w:val="22"/>
        </w:rPr>
        <w:t xml:space="preserve">Concentration of metals in human cervix tissue was reported in </w:t>
      </w:r>
      <w:r w:rsidRPr="00422E10"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ADDIN EN.CITE &lt;EndNote&gt;&lt;Cite&gt;&lt;Author&gt;Cunzhi&lt;/Author&gt;&lt;Year&gt;2003&lt;/Year&gt;&lt;RecNum&gt;168&lt;/RecNum&gt;&lt;DisplayText&gt;(Cunzhi et al. 2003)&lt;/DisplayText&gt;&lt;record&gt;&lt;rec-number&gt;168&lt;/rec-number&gt;&lt;foreign-keys&gt;&lt;key app="EN" db-id="r259tepwus2rd6ew9zr5ev9ss5afrtswrd9a" timestamp="1634569241"&gt;168&lt;/key&gt;&lt;/foreign-keys&gt;&lt;ref-type name="Journal Article"&gt;17&lt;/ref-type&gt;&lt;contributors&gt;&lt;authors&gt;&lt;author&gt;Cunzhi, H.&lt;/author&gt;&lt;author&gt;Jiexian, J.&lt;/author&gt;&lt;author&gt;Xianwen, Z.&lt;/author&gt;&lt;author&gt;Jingang, G.&lt;/author&gt;&lt;author&gt;Shumin, Z.&lt;/author&gt;&lt;author&gt;Lili, D.&lt;/author&gt;&lt;/authors&gt;&lt;/contributors&gt;&lt;auth-address&gt;Department of Etiology, Shanxi Cancer Institute, Taiyuan 030013, People&amp;apos;s Republic of China.&lt;/auth-address&gt;&lt;titles&gt;&lt;title&gt;Serum and tissue levels of six trace elements and copper/zinc ratio in patients with cervical cancer and uterine myoma&lt;/title&gt;&lt;secondary-title&gt;Biol Trace Elem Res&lt;/secondary-title&gt;&lt;/titles&gt;&lt;periodical&gt;&lt;full-title&gt;Biol Trace Elem Res&lt;/full-title&gt;&lt;/periodical&gt;&lt;pages&gt;113-22&lt;/pages&gt;&lt;volume&gt;94&lt;/volume&gt;&lt;number&gt;2&lt;/number&gt;&lt;edition&gt;2003/09/06&lt;/edition&gt;&lt;keywords&gt;&lt;keyword&gt;Adult&lt;/keyword&gt;&lt;keyword&gt;Aged&lt;/keyword&gt;&lt;keyword&gt;Copper/analysis/blood&lt;/keyword&gt;&lt;keyword&gt;Female&lt;/keyword&gt;&lt;keyword&gt;Humans&lt;/keyword&gt;&lt;keyword&gt;Middle Aged&lt;/keyword&gt;&lt;keyword&gt;Myoma/*blood&lt;/keyword&gt;&lt;keyword&gt;Trace Elements/*analysis/*blood&lt;/keyword&gt;&lt;keyword&gt;Uterine Cervical Neoplasms/*blood&lt;/keyword&gt;&lt;keyword&gt;Uterine Neoplasms/*blood&lt;/keyword&gt;&lt;keyword&gt;Zinc/analysis/blood&lt;/keyword&gt;&lt;/keywords&gt;&lt;dates&gt;&lt;year&gt;2003&lt;/year&gt;&lt;pub-dates&gt;&lt;date&gt;Aug&lt;/date&gt;&lt;/pub-dates&gt;&lt;/dates&gt;&lt;isbn&gt;0163-4984 (Print)&amp;#xD;0163-4984 (Linking)&lt;/isbn&gt;&lt;accession-num&gt;12958402&lt;/accession-num&gt;&lt;urls&gt;&lt;related-urls&gt;&lt;url&gt;https://www.ncbi.nlm.nih.gov/pubmed/12958402&lt;/url&gt;&lt;/related-urls&gt;&lt;/urls&gt;&lt;electronic-resource-num&gt;10.1385/BTER:94:2:113&lt;/electronic-resource-num&gt;&lt;/record&gt;&lt;/Cite&gt;&lt;/EndNote&gt;</w:instrText>
      </w:r>
      <w:r w:rsidRPr="00422E1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(Cunzhi et al. 2003)</w:t>
      </w:r>
      <w:r w:rsidRPr="00422E10">
        <w:rPr>
          <w:rFonts w:ascii="Arial" w:hAnsi="Arial" w:cs="Arial"/>
          <w:sz w:val="22"/>
          <w:szCs w:val="22"/>
        </w:rPr>
        <w:fldChar w:fldCharType="end"/>
      </w:r>
      <w:r w:rsidRPr="00422E10">
        <w:rPr>
          <w:rFonts w:ascii="Arial" w:hAnsi="Arial" w:cs="Arial"/>
          <w:sz w:val="22"/>
          <w:szCs w:val="22"/>
        </w:rPr>
        <w:t>.</w:t>
      </w:r>
    </w:p>
    <w:p w14:paraId="051E2F63" w14:textId="77777777" w:rsidR="002A440C" w:rsidRPr="00422E10" w:rsidRDefault="002A440C" w:rsidP="002A440C">
      <w:pPr>
        <w:spacing w:line="480" w:lineRule="auto"/>
        <w:rPr>
          <w:rFonts w:ascii="Arial" w:hAnsi="Arial" w:cs="Arial"/>
          <w:sz w:val="22"/>
          <w:szCs w:val="22"/>
        </w:rPr>
      </w:pPr>
      <w:r w:rsidRPr="00422E10">
        <w:rPr>
          <w:rFonts w:ascii="Arial" w:hAnsi="Arial" w:cs="Arial"/>
          <w:b/>
          <w:bCs/>
          <w:sz w:val="22"/>
          <w:szCs w:val="22"/>
        </w:rPr>
        <w:t>Supplemental Table 2</w:t>
      </w:r>
      <w:r w:rsidRPr="00422E10">
        <w:rPr>
          <w:rFonts w:ascii="Arial" w:hAnsi="Arial" w:cs="Arial"/>
          <w:sz w:val="22"/>
          <w:szCs w:val="22"/>
        </w:rPr>
        <w:t xml:space="preserve"> ICP-MS operating conditions and instrument parameters</w:t>
      </w:r>
    </w:p>
    <w:p w14:paraId="720C8908" w14:textId="77777777" w:rsidR="002A440C" w:rsidRPr="00422E10" w:rsidRDefault="002A440C" w:rsidP="002A440C">
      <w:pPr>
        <w:spacing w:line="480" w:lineRule="auto"/>
        <w:rPr>
          <w:rFonts w:ascii="Arial" w:hAnsi="Arial" w:cs="Arial"/>
          <w:sz w:val="22"/>
          <w:szCs w:val="22"/>
        </w:rPr>
      </w:pPr>
      <w:r w:rsidRPr="00422E10">
        <w:rPr>
          <w:rFonts w:ascii="Arial" w:hAnsi="Arial" w:cs="Arial"/>
          <w:b/>
          <w:bCs/>
          <w:sz w:val="22"/>
          <w:szCs w:val="22"/>
        </w:rPr>
        <w:t>Supplemental Table 3</w:t>
      </w:r>
      <w:r w:rsidRPr="00422E10">
        <w:rPr>
          <w:rFonts w:ascii="Arial" w:hAnsi="Arial" w:cs="Arial"/>
          <w:sz w:val="22"/>
          <w:szCs w:val="22"/>
        </w:rPr>
        <w:t xml:space="preserve"> Analyte modes, calibration linearity, detection limits and recoveries on quality control (QC) standards</w:t>
      </w:r>
    </w:p>
    <w:p w14:paraId="55E5C502" w14:textId="77777777" w:rsidR="00920650" w:rsidRDefault="00920650"/>
    <w:sectPr w:rsidR="00920650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0C"/>
    <w:rsid w:val="002A440C"/>
    <w:rsid w:val="00920650"/>
    <w:rsid w:val="00B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11F41"/>
  <w14:defaultImageDpi w14:val="32767"/>
  <w15:chartTrackingRefBased/>
  <w15:docId w15:val="{582177CE-22E6-6247-A792-8D5C1428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4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2022-04-22T14:47:00Z</dcterms:created>
  <dcterms:modified xsi:type="dcterms:W3CDTF">2022-04-22T14:48:00Z</dcterms:modified>
</cp:coreProperties>
</file>