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34C" w:rsidRPr="0024634C" w:rsidRDefault="0024634C" w:rsidP="0024634C">
      <w:pPr>
        <w:jc w:val="center"/>
        <w:rPr>
          <w:b/>
          <w:sz w:val="24"/>
        </w:rPr>
      </w:pPr>
      <w:r w:rsidRPr="0024634C">
        <w:rPr>
          <w:b/>
          <w:sz w:val="24"/>
        </w:rPr>
        <w:t>Custom Reading Windows for 3’UTR Region</w:t>
      </w:r>
    </w:p>
    <w:p w:rsidR="0024634C" w:rsidRDefault="0024634C" w:rsidP="0024634C">
      <w:pPr>
        <w:jc w:val="both"/>
      </w:pPr>
    </w:p>
    <w:p w:rsidR="0024634C" w:rsidRPr="0024634C" w:rsidRDefault="0024634C" w:rsidP="0024634C">
      <w:pPr>
        <w:jc w:val="both"/>
        <w:rPr>
          <w:b/>
        </w:rPr>
      </w:pPr>
      <w:r w:rsidRPr="0024634C">
        <w:rPr>
          <w:b/>
        </w:rPr>
        <w:t>The calculation of the 3’UTR length was done using two data sets:</w:t>
      </w:r>
    </w:p>
    <w:p w:rsidR="0024634C" w:rsidRDefault="0024634C" w:rsidP="0024634C">
      <w:pPr>
        <w:jc w:val="both"/>
      </w:pPr>
      <w:r>
        <w:t>1-</w:t>
      </w:r>
      <w:r w:rsidR="005E4862">
        <w:t xml:space="preserve">  </w:t>
      </w:r>
      <w:r>
        <w:fldChar w:fldCharType="begin"/>
      </w:r>
      <w:r>
        <w:instrText xml:space="preserve"> ADDIN ZOTERO_ITEM CSL_CITATION {"citationID":"kpEAINQi","properties":{"formattedCitation":"(Pelechano et al., 2013)","plainCitation":"(Pelechano et al., 2013)","noteIndex":0},"citationItems":[{"id":1852,"uris":["http://zotero.org/users/local/H4EX56T2/items/Z9ESLXVP"],"uri":["http://zotero.org/users/local/H4EX56T2/items/Z9ESLXVP"],"itemData":{"id":1852,"type":"article-journal","abstract":"Transcript function is determined by sequence elements arranged on an individual RNA\nmolecule. Variation in transcripts can affect mRNA stability, localization, and\ntranslation, or give rise to truncated proteins\nwith differing subcellular localizations and\nfunctions. Given the existence of overlapping,\nvariable transcript isoforms, determining the functional impact of the transcriptome requires\nidentification of full-length transcripts, rather than just the genomic regions that are\ntranscribed,. Here, by jointly determining both transcript ends for millions of RNA molecules\n(TIF-Seq), we reveal an extensive layer of isoform diversity previously hidden among overlapping RNA\nmolecules. Variation in transcript boundaries appears to be the rule rather than the exception, even\nwithin a single population of yeast cells. Over 26 major transcript isoforms per protein-coding gene\nwere expressed in yeast. Hundreds of short coding RNAs and truncated versions of proteins are\nconcomitantly encoded by alternative transcript isoforms, increasing protein diversity. In addition,\n~70% of genes express alternative isoforms that vary in posttranscriptional regulatory\nelements, and tandem genes frequently produce overlapping or even bicistronic transcripts. This\nextensive transcript diversity is generated by a relatively simple eukaryotic genome with limited\nsplicing, and within a genetically homogeneous population of cells. Our findings have implications\nfor genome compaction, evolution, and phenotypic diversity between single cells. They also suggest\nthat isoform diversity as well as RNA abundance should be considered when assessing the functional\nrepertoire of genomes.","container-title":"Nature","DOI":"10.1038/nature12121","ISSN":"0028-0836","issue":"7447","journalAbbreviation":"Nature","note":"PMID: 23615609\nPMCID: PMC3705217","page":"127-131","source":"PubMed Central","title":"Extensive transcriptional heterogeneity revealed by isoform profiling","volume":"497","author":[{"family":"Pelechano","given":"Vicent"},{"family":"Wei","given":"Wu"},{"family":"Steinmetz","given":"Lars M."}],"issued":{"date-parts":[["2013",5,2]]}}}],"schema":"https://github.com/citation-style-language/schema/raw/master/csl-citation.json"} </w:instrText>
      </w:r>
      <w:r>
        <w:fldChar w:fldCharType="separate"/>
      </w:r>
      <w:r w:rsidRPr="0024634C">
        <w:rPr>
          <w:rFonts w:ascii="Calibri" w:hAnsi="Calibri"/>
        </w:rPr>
        <w:t>(Pelechano et al., 2013)</w:t>
      </w:r>
      <w:r>
        <w:fldChar w:fldCharType="end"/>
      </w:r>
    </w:p>
    <w:p w:rsidR="0024634C" w:rsidRDefault="0024634C" w:rsidP="0024634C">
      <w:pPr>
        <w:jc w:val="both"/>
      </w:pPr>
      <w:r>
        <w:t xml:space="preserve">2- </w:t>
      </w:r>
      <w:r w:rsidR="005E4862">
        <w:t xml:space="preserve"> </w:t>
      </w:r>
      <w:r>
        <w:fldChar w:fldCharType="begin"/>
      </w:r>
      <w:r>
        <w:instrText xml:space="preserve"> ADDIN ZOTERO_ITEM CSL_CITATION {"citationID":"YBFnbSiT","properties":{"formattedCitation":"(Xu et al., 2009)","plainCitation":"(Xu et al., 2009)","noteIndex":0},"citationItems":[{"id":1931,"uris":["http://zotero.org/users/local/H4EX56T2/items/RN7I7BTC"],"uri":["http://zotero.org/users/local/H4EX56T2/items/RN7I7BTC"],"itemData":{"id":1931,"type":"article-journal","abstract":"Two papers in this issue reveal the prevalence of cryptic or hidden transcription in the yeast genome. Cryptic unstable transcripts (CUTs) are a major class of RNA polymerase II transcripts in budding yeast and are degraded immediately after being synthesized. They had therefore escaped detection until recently. In the current papers, high-resolution genome analyses reveal that CUTs arise predominantly from promoter regions and in an antisense direction. There is therefore a widespread occurrence of inherently bidirectional promoters in yeast, which hints at a regulatory function for these non-coding transcripts.","container-title":"Nature","DOI":"10.1038/nature07728","ISSN":"1476-4687","issue":"7232","language":"en","note":"Bandiera_abtest: a\nCg_type: Nature Research Journals\nnumber: 7232\nPrimary_atype: Research\npublisher: Nature Publishing Group","page":"1033-1037","source":"www.nature.com","title":"Bidirectional promoters generate pervasive transcription in yeast","volume":"457","author":[{"family":"Xu","given":"Zhenyu"},{"family":"Wei","given":"Wu"},{"family":"Gagneur","given":"Julien"},{"family":"Perocchi","given":"Fabiana"},{"family":"Clauder-Münster","given":"Sandra"},{"family":"Camblong","given":"Jurgi"},{"family":"Guffanti","given":"Elisa"},{"family":"Stutz","given":"Françoise"},{"family":"Huber","given":"Wolfgang"},{"family":"Steinmetz","given":"Lars M."}],"issued":{"date-parts":[["2009",2]]}}}],"schema":"https://github.com/citation-style-language/schema/raw/master/csl-citation.json"} </w:instrText>
      </w:r>
      <w:r>
        <w:fldChar w:fldCharType="separate"/>
      </w:r>
      <w:r w:rsidRPr="0024634C">
        <w:rPr>
          <w:rFonts w:ascii="Calibri" w:hAnsi="Calibri"/>
        </w:rPr>
        <w:t>(Xu et al., 2009)</w:t>
      </w:r>
      <w:r>
        <w:fldChar w:fldCharType="end"/>
      </w:r>
    </w:p>
    <w:p w:rsidR="0024634C" w:rsidRDefault="0024634C" w:rsidP="0024634C">
      <w:pPr>
        <w:jc w:val="both"/>
      </w:pPr>
    </w:p>
    <w:p w:rsidR="0024634C" w:rsidRPr="0024634C" w:rsidRDefault="0024634C" w:rsidP="0024634C">
      <w:pPr>
        <w:jc w:val="both"/>
        <w:rPr>
          <w:b/>
        </w:rPr>
      </w:pPr>
      <w:r w:rsidRPr="0024634C">
        <w:rPr>
          <w:b/>
        </w:rPr>
        <w:t>The UTR length from</w:t>
      </w:r>
      <w:r>
        <w:rPr>
          <w:b/>
        </w:rPr>
        <w:t xml:space="preserve"> </w:t>
      </w:r>
      <w:r w:rsidRPr="0024634C">
        <w:rPr>
          <w:b/>
        </w:rPr>
        <w:fldChar w:fldCharType="begin"/>
      </w:r>
      <w:r w:rsidRPr="0024634C">
        <w:rPr>
          <w:b/>
        </w:rPr>
        <w:instrText xml:space="preserve"> ADDIN ZOTERO_ITEM CSL_CITATION {"citationID":"DY0XDYDY","properties":{"formattedCitation":"(Pelechano et al., 2013)","plainCitation":"(Pelechano et al., 2013)","noteIndex":0},"citationItems":[{"id":1852,"uris":["http://zotero.org/users/local/H4EX56T2/items/Z9ESLXVP"],"uri":["http://zotero.org/users/local/H4EX56T2/items/Z9ESLXVP"],"itemData":{"id":1852,"type":"article-journal","abstract":"Transcript function is determined by sequence elements arranged on an individual RNA\nmolecule. Variation in transcripts can affect mRNA stability, localization, and\ntranslation, or give rise to truncated proteins\nwith differing subcellular localizations and\nfunctions. Given the existence of overlapping,\nvariable transcript isoforms, determining the functional impact of the transcriptome requires\nidentification of full-length transcripts, rather than just the genomic regions that are\ntranscribed,. Here, by jointly determining both transcript ends for millions of RNA molecules\n(TIF-Seq), we reveal an extensive layer of isoform diversity previously hidden among overlapping RNA\nmolecules. Variation in transcript boundaries appears to be the rule rather than the exception, even\nwithin a single population of yeast cells. Over 26 major transcript isoforms per protein-coding gene\nwere expressed in yeast. Hundreds of short coding RNAs and truncated versions of proteins are\nconcomitantly encoded by alternative transcript isoforms, increasing protein diversity. In addition,\n~70% of genes express alternative isoforms that vary in posttranscriptional regulatory\nelements, and tandem genes frequently produce overlapping or even bicistronic transcripts. This\nextensive transcript diversity is generated by a relatively simple eukaryotic genome with limited\nsplicing, and within a genetically homogeneous population of cells. Our findings have implications\nfor genome compaction, evolution, and phenotypic diversity between single cells. They also suggest\nthat isoform diversity as well as RNA abundance should be considered when assessing the functional\nrepertoire of genomes.","container-title":"Nature","DOI":"10.1038/nature12121","ISSN":"0028-0836","issue":"7447","journalAbbreviation":"Nature","note":"PMID: 23615609\nPMCID: PMC3705217","page":"127-131","source":"PubMed Central","title":"Extensive transcriptional heterogeneity revealed by isoform profiling","volume":"497","author":[{"family":"Pelechano","given":"Vicent"},{"family":"Wei","given":"Wu"},{"family":"Steinmetz","given":"Lars M."}],"issued":{"date-parts":[["2013",5,2]]}}}],"schema":"https://github.com/citation-style-language/schema/raw/master/csl-citation.json"} </w:instrText>
      </w:r>
      <w:r w:rsidRPr="0024634C">
        <w:rPr>
          <w:b/>
        </w:rPr>
        <w:fldChar w:fldCharType="separate"/>
      </w:r>
      <w:r w:rsidRPr="0024634C">
        <w:rPr>
          <w:rFonts w:ascii="Calibri" w:hAnsi="Calibri"/>
          <w:b/>
        </w:rPr>
        <w:t>(Pelechano et al., 2013)</w:t>
      </w:r>
      <w:r w:rsidRPr="0024634C">
        <w:rPr>
          <w:b/>
        </w:rPr>
        <w:fldChar w:fldCharType="end"/>
      </w:r>
      <w:r>
        <w:rPr>
          <w:b/>
        </w:rPr>
        <w:t xml:space="preserve"> </w:t>
      </w:r>
      <w:r w:rsidRPr="0024634C">
        <w:rPr>
          <w:b/>
        </w:rPr>
        <w:t>was calculated in two different ways:</w:t>
      </w:r>
    </w:p>
    <w:p w:rsidR="0024634C" w:rsidRDefault="0024634C" w:rsidP="0024634C">
      <w:pPr>
        <w:jc w:val="both"/>
      </w:pPr>
      <w:r>
        <w:t>1- Our own analysis which selected the longest 3'UTR from the isoforms for each gene.</w:t>
      </w:r>
    </w:p>
    <w:p w:rsidR="0024634C" w:rsidRDefault="0024634C" w:rsidP="0024634C">
      <w:pPr>
        <w:jc w:val="both"/>
      </w:pPr>
      <w:r>
        <w:t xml:space="preserve">2- </w:t>
      </w:r>
      <w:r>
        <w:fldChar w:fldCharType="begin"/>
      </w:r>
      <w:r>
        <w:instrText xml:space="preserve"> ADDIN ZOTERO_ITEM CSL_CITATION {"citationID":"tI36poGu","properties":{"formattedCitation":"(Roy and Chanfreau, 2020)","plainCitation":"(Roy and Chanfreau, 2020)","noteIndex":0},"citationItems":[{"id":1850,"uris":["http://zotero.org/users/local/H4EX56T2/items/BS3GS49A"],"uri":["http://zotero.org/users/local/H4EX56T2/items/BS3GS49A"],"itemData":{"id":1850,"type":"article-journal","abstract":"3'-end poly(A)+ sequencing is an efficient and economical method for global measurement of mRNA levels and alternative poly(A) site usage. A common method involves oligo(dT)19V reverse-transcription (RT)-based library preparation and high-throughput sequencing with a custom primer ending in (dT)19. While the majority of library products have the first sequenced nucleotide reflect the bona fide poly(A) site (pA), a substantial fraction of sequencing reads arise from various mis-priming events. These can result in incorrect pA site calls anywhere from several nucleotides downstream to several kilobases upstream from the bona fide pA site. While these mis-priming events can be mitigated by increasing annealing stringency (e.g. increasing temperature from 37 °C to 42 °C), they still persist at an appreciable level (</w:instrText>
      </w:r>
      <w:r>
        <w:rPr>
          <w:rFonts w:ascii="Cambria Math" w:hAnsi="Cambria Math" w:cs="Cambria Math"/>
        </w:rPr>
        <w:instrText>∼</w:instrText>
      </w:r>
      <w:r>
        <w:instrText xml:space="preserve">10%) and computational methods must be used to prevent artifactual calls. Here we present a bioinformatics workflow for precise mapping of poly(A)+ 3' ends and handling of artifacts due to oligo(dT) mis-priming and sample polymorphisms. We test pA site calling with three different read mapping programs (STAR, BWA, and BBMap), and show that the way in which each handles terminal mismatches and soft clipping has a substantial impact on identifying correct pA sites, with BWA requiring the least post-processing to correct artifacts. We demonstrate the use of this pipeline for mapping pA sites in the model eukaryote S. cerevisiae, and further apply this technology to non-polyadenylated transcripts by employing in vitro polyadenylation prior to library prep (IVP-seq). As proof of principle, we show that a fraction of tRNAs harbor CCU 3' tails instead of the canonical CCA tail, and globally identify 3' ends of splicing intermediates arising from inefficiently spliced transcripts.","container-title":"Methods (San Diego, Calif.)","DOI":"10.1016/j.ymeth.2019.05.016","ISSN":"1095-9130","journalAbbreviation":"Methods","language":"eng","note":"PMID: 31128237\nPMCID: PMC6874744","page":"4-13","source":"PubMed","title":"Robust mapping of polyadenylated and non-polyadenylated RNA 3' ends at nucleotide resolution by 3'-end sequencing","volume":"176","author":[{"family":"Roy","given":"Kevin R."},{"family":"Chanfreau","given":"Guillaume F."}],"issued":{"date-parts":[["2020",4,1]]}}}],"schema":"https://github.com/citation-style-language/schema/raw/master/csl-citation.json"} </w:instrText>
      </w:r>
      <w:r>
        <w:fldChar w:fldCharType="separate"/>
      </w:r>
      <w:r w:rsidRPr="0024634C">
        <w:rPr>
          <w:rFonts w:ascii="Calibri" w:hAnsi="Calibri"/>
        </w:rPr>
        <w:t>(Roy and Chanfreau, 2020)</w:t>
      </w:r>
      <w:r>
        <w:fldChar w:fldCharType="end"/>
      </w:r>
      <w:r>
        <w:t xml:space="preserve"> analysis of </w:t>
      </w:r>
      <w:r>
        <w:fldChar w:fldCharType="begin"/>
      </w:r>
      <w:r>
        <w:instrText xml:space="preserve"> ADDIN ZOTERO_ITEM CSL_CITATION {"citationID":"NpeBNQF9","properties":{"formattedCitation":"(Pelechano et al., 2013)","plainCitation":"(Pelechano et al., 2013)","noteIndex":0},"citationItems":[{"id":1852,"uris":["http://zotero.org/users/local/H4EX56T2/items/Z9ESLXVP"],"uri":["http://zotero.org/users/local/H4EX56T2/items/Z9ESLXVP"],"itemData":{"id":1852,"type":"article-journal","abstract":"Transcript function is determined by sequence elements arranged on an individual RNA\nmolecule. Variation in transcripts can affect mRNA stability, localization, and\ntranslation, or give rise to truncated proteins\nwith differing subcellular localizations and\nfunctions. Given the existence of overlapping,\nvariable transcript isoforms, determining the functional impact of the transcriptome requires\nidentification of full-length transcripts, rather than just the genomic regions that are\ntranscribed,. Here, by jointly determining both transcript ends for millions of RNA molecules\n(TIF-Seq), we reveal an extensive layer of isoform diversity previously hidden among overlapping RNA\nmolecules. Variation in transcript boundaries appears to be the rule rather than the exception, even\nwithin a single population of yeast cells. Over 26 major transcript isoforms per protein-coding gene\nwere expressed in yeast. Hundreds of short coding RNAs and truncated versions of proteins are\nconcomitantly encoded by alternative transcript isoforms, increasing protein diversity. In addition,\n~70% of genes express alternative isoforms that vary in posttranscriptional regulatory\nelements, and tandem genes frequently produce overlapping or even bicistronic transcripts. This\nextensive transcript diversity is generated by a relatively simple eukaryotic genome with limited\nsplicing, and within a genetically homogeneous population of cells. Our findings have implications\nfor genome compaction, evolution, and phenotypic diversity between single cells. They also suggest\nthat isoform diversity as well as RNA abundance should be considered when assessing the functional\nrepertoire of genomes.","container-title":"Nature","DOI":"10.1038/nature12121","ISSN":"0028-0836","issue":"7447","journalAbbreviation":"Nature","note":"PMID: 23615609\nPMCID: PMC3705217","page":"127-131","source":"PubMed Central","title":"Extensive transcriptional heterogeneity revealed by isoform profiling","volume":"497","author":[{"family":"Pelechano","given":"Vicent"},{"family":"Wei","given":"Wu"},{"family":"Steinmetz","given":"Lars M."}],"issued":{"date-parts":[["2013",5,2]]}}}],"schema":"https://github.com/citation-style-language/schema/raw/master/csl-citation.json"} </w:instrText>
      </w:r>
      <w:r>
        <w:fldChar w:fldCharType="separate"/>
      </w:r>
      <w:r w:rsidRPr="0024634C">
        <w:rPr>
          <w:rFonts w:ascii="Calibri" w:hAnsi="Calibri"/>
        </w:rPr>
        <w:t>(Pelechano et al., 2013)</w:t>
      </w:r>
      <w:r>
        <w:fldChar w:fldCharType="end"/>
      </w:r>
      <w:r>
        <w:t>.</w:t>
      </w:r>
    </w:p>
    <w:p w:rsidR="0024634C" w:rsidRDefault="0024634C" w:rsidP="0024634C">
      <w:pPr>
        <w:jc w:val="both"/>
      </w:pPr>
    </w:p>
    <w:p w:rsidR="0024634C" w:rsidRPr="0024634C" w:rsidRDefault="0024634C" w:rsidP="0024634C">
      <w:pPr>
        <w:jc w:val="both"/>
        <w:rPr>
          <w:b/>
        </w:rPr>
      </w:pPr>
      <w:r w:rsidRPr="0024634C">
        <w:rPr>
          <w:b/>
        </w:rPr>
        <w:t xml:space="preserve">The </w:t>
      </w:r>
      <w:r w:rsidR="002F4A96">
        <w:rPr>
          <w:b/>
        </w:rPr>
        <w:t xml:space="preserve">length of the UTR per gene was </w:t>
      </w:r>
      <w:r w:rsidRPr="0024634C">
        <w:rPr>
          <w:b/>
        </w:rPr>
        <w:t>selected as follows:</w:t>
      </w:r>
    </w:p>
    <w:p w:rsidR="0024634C" w:rsidRDefault="0024634C" w:rsidP="0024634C">
      <w:pPr>
        <w:jc w:val="both"/>
      </w:pPr>
      <w:r>
        <w:t>1- If a UTR has a calculated value in only one of the calculation, then that length was used.</w:t>
      </w:r>
    </w:p>
    <w:p w:rsidR="0024634C" w:rsidRDefault="0024634C" w:rsidP="0024634C">
      <w:pPr>
        <w:jc w:val="both"/>
      </w:pPr>
      <w:r>
        <w:t xml:space="preserve">2- UTRs that had an identical length our analysis and </w:t>
      </w:r>
      <w:r>
        <w:fldChar w:fldCharType="begin"/>
      </w:r>
      <w:r>
        <w:instrText xml:space="preserve"> ADDIN ZOTERO_ITEM CSL_CITATION {"citationID":"oO3UrpYw","properties":{"formattedCitation":"(Roy and Chanfreau, 2020)","plainCitation":"(Roy and Chanfreau, 2020)","noteIndex":0},"citationItems":[{"id":1850,"uris":["http://zotero.org/users/local/H4EX56T2/items/BS3GS49A"],"uri":["http://zotero.org/users/local/H4EX56T2/items/BS3GS49A"],"itemData":{"id":1850,"type":"article-journal","abstract":"3'-end poly(A)+ sequencing is an efficient and economical method for global measurement of mRNA levels and alternative poly(A) site usage. A common method involves oligo(dT)19V reverse-transcription (RT)-based library preparation and high-throughput sequencing with a custom primer ending in (dT)19. While the majority of library products have the first sequenced nucleotide reflect the bona fide poly(A) site (pA), a substantial fraction of sequencing reads arise from various mis-priming events. These can result in incorrect pA site calls anywhere from several nucleotides downstream to several kilobases upstream from the bona fide pA site. While these mis-priming events can be mitigated by increasing annealing stringency (e.g. increasing temperature from 37 °C to 42 °C), they still persist at an appreciable level (</w:instrText>
      </w:r>
      <w:r>
        <w:rPr>
          <w:rFonts w:ascii="Cambria Math" w:hAnsi="Cambria Math" w:cs="Cambria Math"/>
        </w:rPr>
        <w:instrText>∼</w:instrText>
      </w:r>
      <w:r>
        <w:instrText xml:space="preserve">10%) and computational methods must be used to prevent artifactual calls. Here we present a bioinformatics workflow for precise mapping of poly(A)+ 3' ends and handling of artifacts due to oligo(dT) mis-priming and sample polymorphisms. We test pA site calling with three different read mapping programs (STAR, BWA, and BBMap), and show that the way in which each handles terminal mismatches and soft clipping has a substantial impact on identifying correct pA sites, with BWA requiring the least post-processing to correct artifacts. We demonstrate the use of this pipeline for mapping pA sites in the model eukaryote S. cerevisiae, and further apply this technology to non-polyadenylated transcripts by employing in vitro polyadenylation prior to library prep (IVP-seq). As proof of principle, we show that a fraction of tRNAs harbor CCU 3' tails instead of the canonical CCA tail, and globally identify 3' ends of splicing intermediates arising from inefficiently spliced transcripts.","container-title":"Methods (San Diego, Calif.)","DOI":"10.1016/j.ymeth.2019.05.016","ISSN":"1095-9130","journalAbbreviation":"Methods","language":"eng","note":"PMID: 31128237\nPMCID: PMC6874744","page":"4-13","source":"PubMed","title":"Robust mapping of polyadenylated and non-polyadenylated RNA 3' ends at nucleotide resolution by 3'-end sequencing","volume":"176","author":[{"family":"Roy","given":"Kevin R."},{"family":"Chanfreau","given":"Guillaume F."}],"issued":{"date-parts":[["2020",4,1]]}}}],"schema":"https://github.com/citation-style-language/schema/raw/master/csl-citation.json"} </w:instrText>
      </w:r>
      <w:r>
        <w:fldChar w:fldCharType="separate"/>
      </w:r>
      <w:r w:rsidRPr="0024634C">
        <w:rPr>
          <w:rFonts w:ascii="Calibri" w:hAnsi="Calibri"/>
        </w:rPr>
        <w:t>(Roy and Chanfreau, 2020)</w:t>
      </w:r>
      <w:r>
        <w:fldChar w:fldCharType="end"/>
      </w:r>
      <w:r>
        <w:t>, then that length was used.</w:t>
      </w:r>
    </w:p>
    <w:p w:rsidR="0024634C" w:rsidRDefault="0024634C" w:rsidP="0024634C">
      <w:pPr>
        <w:jc w:val="both"/>
      </w:pPr>
      <w:r>
        <w:t>3- UTRs that had a calculated length that was identical between two of the other calculations, then that length was used.</w:t>
      </w:r>
    </w:p>
    <w:p w:rsidR="0024634C" w:rsidRDefault="0024634C" w:rsidP="0024634C">
      <w:pPr>
        <w:jc w:val="both"/>
      </w:pPr>
      <w:r>
        <w:t>4- UTRs that had values in all 3 calculations but not identical in any then the median was used (rationale is that the median would take the value the is closest in two annotations).</w:t>
      </w:r>
    </w:p>
    <w:p w:rsidR="0024634C" w:rsidRDefault="0024634C" w:rsidP="0024634C">
      <w:pPr>
        <w:jc w:val="both"/>
      </w:pPr>
      <w:r>
        <w:t>5- For the remaining UTRs</w:t>
      </w:r>
      <w:r w:rsidR="002F4A96">
        <w:t xml:space="preserve"> that can only be compared between two annotations</w:t>
      </w:r>
      <w:r>
        <w:t xml:space="preserve">, if they had a length of less than 140 </w:t>
      </w:r>
      <w:proofErr w:type="spellStart"/>
      <w:r>
        <w:t>bp</w:t>
      </w:r>
      <w:proofErr w:type="spellEnd"/>
      <w:r>
        <w:t xml:space="preserve"> (140bp was selected because it was close to the mean of th</w:t>
      </w:r>
      <w:r w:rsidR="002F4A96">
        <w:t>e medians of UTR length calculated 142bp</w:t>
      </w:r>
      <w:r>
        <w:t xml:space="preserve">) in the </w:t>
      </w:r>
      <w:r w:rsidR="002F4A96">
        <w:fldChar w:fldCharType="begin"/>
      </w:r>
      <w:r w:rsidR="002F4A96">
        <w:instrText xml:space="preserve"> ADDIN ZOTERO_ITEM CSL_CITATION {"citationID":"5nE1sISb","properties":{"formattedCitation":"(Roy and Chanfreau, 2020)","plainCitation":"(Roy and Chanfreau, 2020)","noteIndex":0},"citationItems":[{"id":1850,"uris":["http://zotero.org/users/local/H4EX56T2/items/BS3GS49A"],"uri":["http://zotero.org/users/local/H4EX56T2/items/BS3GS49A"],"itemData":{"id":1850,"type":"article-journal","abstract":"3'-end poly(A)+ sequencing is an efficient and economical method for global measurement of mRNA levels and alternative poly(A) site usage. A common method involves oligo(dT)19V reverse-transcription (RT)-based library preparation and high-throughput sequencing with a custom primer ending in (dT)19. While the majority of library products have the first sequenced nucleotide reflect the bona fide poly(A) site (pA), a substantial fraction of sequencing reads arise from various mis-priming events. These can result in incorrect pA site calls anywhere from several nucleotides downstream to several kilobases upstream from the bona fide pA site. While these mis-priming events can be mitigated by increasing annealing stringency (e.g. increasing temperature from 37 °C to 42 °C), they still persist at an appreciable level (</w:instrText>
      </w:r>
      <w:r w:rsidR="002F4A96">
        <w:rPr>
          <w:rFonts w:ascii="Cambria Math" w:hAnsi="Cambria Math" w:cs="Cambria Math"/>
        </w:rPr>
        <w:instrText>∼</w:instrText>
      </w:r>
      <w:r w:rsidR="002F4A96">
        <w:instrText xml:space="preserve">10%) and computational methods must be used to prevent artifactual calls. Here we present a bioinformatics workflow for precise mapping of poly(A)+ 3' ends and handling of artifacts due to oligo(dT) mis-priming and sample polymorphisms. We test pA site calling with three different read mapping programs (STAR, BWA, and BBMap), and show that the way in which each handles terminal mismatches and soft clipping has a substantial impact on identifying correct pA sites, with BWA requiring the least post-processing to correct artifacts. We demonstrate the use of this pipeline for mapping pA sites in the model eukaryote S. cerevisiae, and further apply this technology to non-polyadenylated transcripts by employing in vitro polyadenylation prior to library prep (IVP-seq). As proof of principle, we show that a fraction of tRNAs harbor CCU 3' tails instead of the canonical CCA tail, and globally identify 3' ends of splicing intermediates arising from inefficiently spliced transcripts.","container-title":"Methods (San Diego, Calif.)","DOI":"10.1016/j.ymeth.2019.05.016","ISSN":"1095-9130","journalAbbreviation":"Methods","language":"eng","note":"PMID: 31128237\nPMCID: PMC6874744","page":"4-13","source":"PubMed","title":"Robust mapping of polyadenylated and non-polyadenylated RNA 3' ends at nucleotide resolution by 3'-end sequencing","volume":"176","author":[{"family":"Roy","given":"Kevin R."},{"family":"Chanfreau","given":"Guillaume F."}],"issued":{"date-parts":[["2020",4,1]]}}}],"schema":"https://github.com/citation-style-language/schema/raw/master/csl-citation.json"} </w:instrText>
      </w:r>
      <w:r w:rsidR="002F4A96">
        <w:fldChar w:fldCharType="separate"/>
      </w:r>
      <w:r w:rsidR="002F4A96" w:rsidRPr="002F4A96">
        <w:rPr>
          <w:rFonts w:ascii="Calibri" w:hAnsi="Calibri"/>
        </w:rPr>
        <w:t>(Roy and Chanfreau, 2020)</w:t>
      </w:r>
      <w:r w:rsidR="002F4A96">
        <w:fldChar w:fldCharType="end"/>
      </w:r>
      <w:r w:rsidR="002F4A96">
        <w:t xml:space="preserve"> </w:t>
      </w:r>
      <w:r>
        <w:t xml:space="preserve">analysis then the </w:t>
      </w:r>
      <w:r w:rsidR="005E4862">
        <w:t>higher</w:t>
      </w:r>
      <w:r>
        <w:t xml:space="preserve"> value between the two length</w:t>
      </w:r>
      <w:r w:rsidR="002F4A96">
        <w:t>s</w:t>
      </w:r>
      <w:r>
        <w:t xml:space="preserve"> being compared was used. If </w:t>
      </w:r>
      <w:r w:rsidR="002F4A96">
        <w:t>they</w:t>
      </w:r>
      <w:r>
        <w:t xml:space="preserve"> had a value of higher then 140bp then the </w:t>
      </w:r>
      <w:r w:rsidR="005E4862">
        <w:fldChar w:fldCharType="begin"/>
      </w:r>
      <w:r w:rsidR="005E4862">
        <w:instrText xml:space="preserve"> ADDIN ZOTERO_ITEM CSL_CITATION {"citationID":"kRrkETwA","properties":{"formattedCitation":"(Roy and Chanfreau, 2020)","plainCitation":"(Roy and Chanfreau, 2020)","noteIndex":0},"citationItems":[{"id":1850,"uris":["http://zotero.org/users/local/H4EX56T2/items/BS3GS49A"],"uri":["http://zotero.org/users/local/H4EX56T2/items/BS3GS49A"],"itemData":{"id":1850,"type":"article-journal","abstract":"3'-end poly(A)+ sequencing is an efficient and economical method for global measurement of mRNA levels and alternative poly(A) site usage. A common method involves oligo(dT)19V reverse-transcription (RT)-based library preparation and high-throughput sequencing with a custom primer ending in (dT)19. While the majority of library products have the first sequenced nucleotide reflect the bona fide poly(A) site (pA), a substantial fraction of sequencing reads arise from various mis-priming events. These can result in incorrect pA site calls anywhere from several nucleotides downstream to several kilobases upstream from the bona fide pA site. While these mis-priming events can be mitigated by increasing annealing stringency (e.g. increasing temperature from 37 °C to 42 °C), they still persist at an appreciable level (</w:instrText>
      </w:r>
      <w:r w:rsidR="005E4862">
        <w:rPr>
          <w:rFonts w:ascii="Cambria Math" w:hAnsi="Cambria Math" w:cs="Cambria Math"/>
        </w:rPr>
        <w:instrText>∼</w:instrText>
      </w:r>
      <w:r w:rsidR="005E4862">
        <w:instrText xml:space="preserve">10%) and computational methods must be used to prevent artifactual calls. Here we present a bioinformatics workflow for precise mapping of poly(A)+ 3' ends and handling of artifacts due to oligo(dT) mis-priming and sample polymorphisms. We test pA site calling with three different read mapping programs (STAR, BWA, and BBMap), and show that the way in which each handles terminal mismatches and soft clipping has a substantial impact on identifying correct pA sites, with BWA requiring the least post-processing to correct artifacts. We demonstrate the use of this pipeline for mapping pA sites in the model eukaryote S. cerevisiae, and further apply this technology to non-polyadenylated transcripts by employing in vitro polyadenylation prior to library prep (IVP-seq). As proof of principle, we show that a fraction of tRNAs harbor CCU 3' tails instead of the canonical CCA tail, and globally identify 3' ends of splicing intermediates arising from inefficiently spliced transcripts.","container-title":"Methods (San Diego, Calif.)","DOI":"10.1016/j.ymeth.2019.05.016","ISSN":"1095-9130","journalAbbreviation":"Methods","language":"eng","note":"PMID: 31128237\nPMCID: PMC6874744","page":"4-13","source":"PubMed","title":"Robust mapping of polyadenylated and non-polyadenylated RNA 3' ends at nucleotide resolution by 3'-end sequencing","volume":"176","author":[{"family":"Roy","given":"Kevin R."},{"family":"Chanfreau","given":"Guillaume F."}],"issued":{"date-parts":[["2020",4,1]]}}}],"schema":"https://github.com/citation-style-language/schema/raw/master/csl-citation.json"} </w:instrText>
      </w:r>
      <w:r w:rsidR="005E4862">
        <w:fldChar w:fldCharType="separate"/>
      </w:r>
      <w:r w:rsidR="005E4862" w:rsidRPr="005E4862">
        <w:rPr>
          <w:rFonts w:ascii="Calibri" w:hAnsi="Calibri"/>
        </w:rPr>
        <w:t>(Roy and Chanfreau, 2020)</w:t>
      </w:r>
      <w:r w:rsidR="005E4862">
        <w:fldChar w:fldCharType="end"/>
      </w:r>
      <w:r w:rsidR="005E4862">
        <w:t xml:space="preserve"> </w:t>
      </w:r>
      <w:r>
        <w:t>length was used.</w:t>
      </w:r>
    </w:p>
    <w:p w:rsidR="0024634C" w:rsidRDefault="005E4862" w:rsidP="0024634C">
      <w:pPr>
        <w:jc w:val="both"/>
      </w:pPr>
      <w:r>
        <w:t>6</w:t>
      </w:r>
      <w:r w:rsidR="0024634C">
        <w:t xml:space="preserve">- Finally UTRs That did not have </w:t>
      </w:r>
      <w:r>
        <w:t xml:space="preserve">a calculated </w:t>
      </w:r>
      <w:r w:rsidR="0024634C">
        <w:t xml:space="preserve">value in </w:t>
      </w:r>
      <w:r>
        <w:fldChar w:fldCharType="begin"/>
      </w:r>
      <w:r>
        <w:instrText xml:space="preserve"> ADDIN ZOTERO_ITEM CSL_CITATION {"citationID":"xY4uTBqi","properties":{"formattedCitation":"(Roy and Chanfreau, 2020)","plainCitation":"(Roy and Chanfreau, 2020)","noteIndex":0},"citationItems":[{"id":1850,"uris":["http://zotero.org/users/local/H4EX56T2/items/BS3GS49A"],"uri":["http://zotero.org/users/local/H4EX56T2/items/BS3GS49A"],"itemData":{"id":1850,"type":"article-journal","abstract":"3'-end poly(A)+ sequencing is an efficient and economical method for global measurement of mRNA levels and alternative poly(A) site usage. A common method involves oligo(dT)19V reverse-transcription (RT)-based library preparation and high-throughput sequencing with a custom primer ending in (dT)19. While the majority of library products have the first sequenced nucleotide reflect the bona fide poly(A) site (pA), a substantial fraction of sequencing reads arise from various mis-priming events. These can result in incorrect pA site calls anywhere from several nucleotides downstream to several kilobases upstream from the bona fide pA site. While these mis-priming events can be mitigated by increasing annealing stringency (e.g. increasing temperature from 37 °C to 42 °C), they still persist at an appreciable level (</w:instrText>
      </w:r>
      <w:r>
        <w:rPr>
          <w:rFonts w:ascii="Cambria Math" w:hAnsi="Cambria Math" w:cs="Cambria Math"/>
        </w:rPr>
        <w:instrText>∼</w:instrText>
      </w:r>
      <w:r>
        <w:instrText xml:space="preserve">10%) and computational methods must be used to prevent artifactual calls. Here we present a bioinformatics workflow for precise mapping of poly(A)+ 3' ends and handling of artifacts due to oligo(dT) mis-priming and sample polymorphisms. We test pA site calling with three different read mapping programs (STAR, BWA, and BBMap), and show that the way in which each handles terminal mismatches and soft clipping has a substantial impact on identifying correct pA sites, with BWA requiring the least post-processing to correct artifacts. We demonstrate the use of this pipeline for mapping pA sites in the model eukaryote S. cerevisiae, and further apply this technology to non-polyadenylated transcripts by employing in vitro polyadenylation prior to library prep (IVP-seq). As proof of principle, we show that a fraction of tRNAs harbor CCU 3' tails instead of the canonical CCA tail, and globally identify 3' ends of splicing intermediates arising from inefficiently spliced transcripts.","container-title":"Methods (San Diego, Calif.)","DOI":"10.1016/j.ymeth.2019.05.016","ISSN":"1095-9130","journalAbbreviation":"Methods","language":"eng","note":"PMID: 31128237\nPMCID: PMC6874744","page":"4-13","source":"PubMed","title":"Robust mapping of polyadenylated and non-polyadenylated RNA 3' ends at nucleotide resolution by 3'-end sequencing","volume":"176","author":[{"family":"Roy","given":"Kevin R."},{"family":"Chanfreau","given":"Guillaume F."}],"issued":{"date-parts":[["2020",4,1]]}}}],"schema":"https://github.com/citation-style-language/schema/raw/master/csl-citation.json"} </w:instrText>
      </w:r>
      <w:r>
        <w:fldChar w:fldCharType="separate"/>
      </w:r>
      <w:r w:rsidRPr="002F4A96">
        <w:rPr>
          <w:rFonts w:ascii="Calibri" w:hAnsi="Calibri"/>
        </w:rPr>
        <w:t>(Roy and Chanfreau, 2020)</w:t>
      </w:r>
      <w:r>
        <w:fldChar w:fldCharType="end"/>
      </w:r>
      <w:r>
        <w:t xml:space="preserve"> analysis</w:t>
      </w:r>
      <w:r w:rsidR="0024634C">
        <w:t xml:space="preserve">. </w:t>
      </w:r>
      <w:r>
        <w:fldChar w:fldCharType="begin"/>
      </w:r>
      <w:r>
        <w:instrText xml:space="preserve"> ADDIN ZOTERO_ITEM CSL_CITATION {"citationID":"dSG8ZHk0","properties":{"formattedCitation":"(Xu et al., 2009)","plainCitation":"(Xu et al., 2009)","noteIndex":0},"citationItems":[{"id":1931,"uris":["http://zotero.org/users/local/H4EX56T2/items/RN7I7BTC"],"uri":["http://zotero.org/users/local/H4EX56T2/items/RN7I7BTC"],"itemData":{"id":1931,"type":"article-journal","abstract":"Two papers in this issue reveal the prevalence of cryptic or hidden transcription in the yeast genome. Cryptic unstable transcripts (CUTs) are a major class of RNA polymerase II transcripts in budding yeast and are degraded immediately after being synthesized. They had therefore escaped detection until recently. In the current papers, high-resolution genome analyses reveal that CUTs arise predominantly from promoter regions and in an antisense direction. There is therefore a widespread occurrence of inherently bidirectional promoters in yeast, which hints at a regulatory function for these non-coding transcripts.","container-title":"Nature","DOI":"10.1038/nature07728","ISSN":"1476-4687","issue":"7232","language":"en","note":"Bandiera_abtest: a\nCg_type: Nature Research Journals\nnumber: 7232\nPrimary_atype: Research\npublisher: Nature Publishing Group","page":"1033-1037","source":"www.nature.com","title":"Bidirectional promoters generate pervasive transcription in yeast","volume":"457","author":[{"family":"Xu","given":"Zhenyu"},{"family":"Wei","given":"Wu"},{"family":"Gagneur","given":"Julien"},{"family":"Perocchi","given":"Fabiana"},{"family":"Clauder-Münster","given":"Sandra"},{"family":"Camblong","given":"Jurgi"},{"family":"Guffanti","given":"Elisa"},{"family":"Stutz","given":"Françoise"},{"family":"Huber","given":"Wolfgang"},{"family":"Steinmetz","given":"Lars M."}],"issued":{"date-parts":[["2009",2]]}}}],"schema":"https://github.com/citation-style-language/schema/raw/master/csl-citation.json"} </w:instrText>
      </w:r>
      <w:r>
        <w:fldChar w:fldCharType="separate"/>
      </w:r>
      <w:r w:rsidRPr="005E4862">
        <w:rPr>
          <w:rFonts w:ascii="Calibri" w:hAnsi="Calibri"/>
        </w:rPr>
        <w:t>(Xu et al., 2009)</w:t>
      </w:r>
      <w:r>
        <w:fldChar w:fldCharType="end"/>
      </w:r>
      <w:r>
        <w:t xml:space="preserve"> </w:t>
      </w:r>
      <w:r w:rsidR="0024634C">
        <w:t>annotation was used as in step 5, U</w:t>
      </w:r>
      <w:r>
        <w:t>TRs with length less than 140bp,then higher value</w:t>
      </w:r>
      <w:r w:rsidR="0024634C">
        <w:t xml:space="preserve"> was selected, UTRs with a length with more than 140bp in annotation then</w:t>
      </w:r>
      <w:r>
        <w:t xml:space="preserve"> </w:t>
      </w:r>
      <w:r>
        <w:fldChar w:fldCharType="begin"/>
      </w:r>
      <w:r>
        <w:instrText xml:space="preserve"> ADDIN ZOTERO_ITEM CSL_CITATION {"citationID":"p8sqjLsp","properties":{"formattedCitation":"(Xu et al., 2009)","plainCitation":"(Xu et al., 2009)","noteIndex":0},"citationItems":[{"id":1931,"uris":["http://zotero.org/users/local/H4EX56T2/items/RN7I7BTC"],"uri":["http://zotero.org/users/local/H4EX56T2/items/RN7I7BTC"],"itemData":{"id":1931,"type":"article-journal","abstract":"Two papers in this issue reveal the prevalence of cryptic or hidden transcription in the yeast genome. Cryptic unstable transcripts (CUTs) are a major class of RNA polymerase II transcripts in budding yeast and are degraded immediately after being synthesized. They had therefore escaped detection until recently. In the current papers, high-resolution genome analyses reveal that CUTs arise predominantly from promoter regions and in an antisense direction. There is therefore a widespread occurrence of inherently bidirectional promoters in yeast, which hints at a regulatory function for these non-coding transcripts.","container-title":"Nature","DOI":"10.1038/nature07728","ISSN":"1476-4687","issue":"7232","language":"en","note":"Bandiera_abtest: a\nCg_type: Nature Research Journals\nnumber: 7232\nPrimary_atype: Research\npublisher: Nature Publishing Group","page":"1033-1037","source":"www.nature.com","title":"Bidirectional promoters generate pervasive transcription in yeast","volume":"457","author":[{"family":"Xu","given":"Zhenyu"},{"family":"Wei","given":"Wu"},{"family":"Gagneur","given":"Julien"},{"family":"Perocchi","given":"Fabiana"},{"family":"Clauder-Münster","given":"Sandra"},{"family":"Camblong","given":"Jurgi"},{"family":"Guffanti","given":"Elisa"},{"family":"Stutz","given":"Françoise"},{"family":"Huber","given":"Wolfgang"},{"family":"Steinmetz","given":"Lars M."}],"issued":{"date-parts":[["2009",2]]}}}],"schema":"https://github.com/citation-style-language/schema/raw/master/csl-citation.json"} </w:instrText>
      </w:r>
      <w:r>
        <w:fldChar w:fldCharType="separate"/>
      </w:r>
      <w:r w:rsidRPr="005E4862">
        <w:rPr>
          <w:rFonts w:ascii="Calibri" w:hAnsi="Calibri"/>
        </w:rPr>
        <w:t>(Xu et al., 2009)</w:t>
      </w:r>
      <w:r>
        <w:fldChar w:fldCharType="end"/>
      </w:r>
      <w:r w:rsidR="0024634C">
        <w:t xml:space="preserve"> length was selected.</w:t>
      </w:r>
    </w:p>
    <w:p w:rsidR="0024634C" w:rsidRDefault="0024634C" w:rsidP="0024634C">
      <w:pPr>
        <w:jc w:val="both"/>
      </w:pPr>
    </w:p>
    <w:p w:rsidR="00744E16" w:rsidRDefault="005E4862" w:rsidP="0024634C">
      <w:pPr>
        <w:jc w:val="both"/>
      </w:pPr>
      <w:r>
        <w:t xml:space="preserve">A </w:t>
      </w:r>
      <w:r w:rsidR="0024634C">
        <w:t>bed file</w:t>
      </w:r>
      <w:r>
        <w:t xml:space="preserve"> was created in which the </w:t>
      </w:r>
      <w:r w:rsidR="0024634C">
        <w:t>calculated UTR length</w:t>
      </w:r>
      <w:r>
        <w:t>s were</w:t>
      </w:r>
      <w:r w:rsidR="0024634C">
        <w:t xml:space="preserve"> added to the end of gene and then extended 250bp into the ORF a</w:t>
      </w:r>
      <w:r>
        <w:t>nd 200 from the end of the UTR to get a less conservative reading window</w:t>
      </w:r>
      <w:r w:rsidR="0024634C">
        <w:t xml:space="preserve">. </w:t>
      </w:r>
      <w:r>
        <w:t xml:space="preserve">The </w:t>
      </w:r>
      <w:r w:rsidR="0024634C">
        <w:t>final annotation</w:t>
      </w:r>
      <w:r w:rsidR="00490436">
        <w:t xml:space="preserve"> for the 3’UTR reading windows</w:t>
      </w:r>
      <w:bookmarkStart w:id="0" w:name="_GoBack"/>
      <w:bookmarkEnd w:id="0"/>
      <w:r w:rsidR="0024634C">
        <w:t xml:space="preserve"> </w:t>
      </w:r>
      <w:r>
        <w:t>can be found in Supplementary file S10.</w:t>
      </w:r>
    </w:p>
    <w:p w:rsidR="005E4862" w:rsidRDefault="005E4862" w:rsidP="0024634C">
      <w:pPr>
        <w:jc w:val="both"/>
      </w:pPr>
    </w:p>
    <w:p w:rsidR="005E4862" w:rsidRDefault="005E4862" w:rsidP="0024634C">
      <w:pPr>
        <w:jc w:val="both"/>
      </w:pPr>
    </w:p>
    <w:p w:rsidR="005E4862" w:rsidRDefault="005E4862" w:rsidP="0024634C">
      <w:pPr>
        <w:jc w:val="both"/>
      </w:pPr>
    </w:p>
    <w:p w:rsidR="005E4862" w:rsidRDefault="005E4862" w:rsidP="0024634C">
      <w:pPr>
        <w:jc w:val="both"/>
        <w:rPr>
          <w:b/>
        </w:rPr>
      </w:pPr>
      <w:r>
        <w:rPr>
          <w:b/>
        </w:rPr>
        <w:lastRenderedPageBreak/>
        <w:t>References:</w:t>
      </w:r>
    </w:p>
    <w:p w:rsidR="005E4862" w:rsidRPr="005E4862" w:rsidRDefault="005E4862" w:rsidP="005E4862">
      <w:pPr>
        <w:pStyle w:val="Bibliography"/>
        <w:rPr>
          <w:rFonts w:ascii="Calibri" w:hAnsi="Calibri"/>
        </w:rPr>
      </w:pPr>
      <w:r>
        <w:rPr>
          <w:b/>
        </w:rPr>
        <w:fldChar w:fldCharType="begin"/>
      </w:r>
      <w:r>
        <w:rPr>
          <w:b/>
        </w:rPr>
        <w:instrText xml:space="preserve"> ADDIN ZOTERO_BIBL {"uncited":[],"omitted":[],"custom":[]} CSL_BIBLIOGRAPHY </w:instrText>
      </w:r>
      <w:r>
        <w:rPr>
          <w:b/>
        </w:rPr>
        <w:fldChar w:fldCharType="separate"/>
      </w:r>
      <w:r w:rsidRPr="005E4862">
        <w:rPr>
          <w:rFonts w:ascii="Calibri" w:hAnsi="Calibri"/>
        </w:rPr>
        <w:t xml:space="preserve">Pelechano, V., Wei, W., and Steinmetz, L.M. (2013). Extensive transcriptional heterogeneity revealed by isoform profiling. Nature </w:t>
      </w:r>
      <w:r w:rsidRPr="005E4862">
        <w:rPr>
          <w:rFonts w:ascii="Calibri" w:hAnsi="Calibri"/>
          <w:i/>
          <w:iCs/>
        </w:rPr>
        <w:t>497</w:t>
      </w:r>
      <w:r w:rsidRPr="005E4862">
        <w:rPr>
          <w:rFonts w:ascii="Calibri" w:hAnsi="Calibri"/>
        </w:rPr>
        <w:t>, 127–131.</w:t>
      </w:r>
    </w:p>
    <w:p w:rsidR="005E4862" w:rsidRPr="005E4862" w:rsidRDefault="005E4862" w:rsidP="005E4862">
      <w:pPr>
        <w:pStyle w:val="Bibliography"/>
        <w:rPr>
          <w:rFonts w:ascii="Calibri" w:hAnsi="Calibri"/>
        </w:rPr>
      </w:pPr>
      <w:r w:rsidRPr="005E4862">
        <w:rPr>
          <w:rFonts w:ascii="Calibri" w:hAnsi="Calibri"/>
        </w:rPr>
        <w:t xml:space="preserve">Roy, K.R., and Chanfreau, G.F. (2020). Robust mapping of polyadenylated and non-polyadenylated RNA 3’ ends at nucleotide resolution by 3’-end sequencing. Methods San Diego Calif </w:t>
      </w:r>
      <w:r w:rsidRPr="005E4862">
        <w:rPr>
          <w:rFonts w:ascii="Calibri" w:hAnsi="Calibri"/>
          <w:i/>
          <w:iCs/>
        </w:rPr>
        <w:t>176</w:t>
      </w:r>
      <w:r w:rsidRPr="005E4862">
        <w:rPr>
          <w:rFonts w:ascii="Calibri" w:hAnsi="Calibri"/>
        </w:rPr>
        <w:t>, 4–13.</w:t>
      </w:r>
    </w:p>
    <w:p w:rsidR="005E4862" w:rsidRPr="005E4862" w:rsidRDefault="005E4862" w:rsidP="005E4862">
      <w:pPr>
        <w:pStyle w:val="Bibliography"/>
        <w:rPr>
          <w:rFonts w:ascii="Calibri" w:hAnsi="Calibri"/>
        </w:rPr>
      </w:pPr>
      <w:r w:rsidRPr="005E4862">
        <w:rPr>
          <w:rFonts w:ascii="Calibri" w:hAnsi="Calibri"/>
        </w:rPr>
        <w:t xml:space="preserve">Xu, Z., Wei, W., Gagneur, J., Perocchi, F., Clauder-Münster, S., Camblong, J., Guffanti, E., Stutz, F., Huber, W., and Steinmetz, L.M. (2009). Bidirectional promoters generate pervasive transcription in yeast. Nature </w:t>
      </w:r>
      <w:r w:rsidRPr="005E4862">
        <w:rPr>
          <w:rFonts w:ascii="Calibri" w:hAnsi="Calibri"/>
          <w:i/>
          <w:iCs/>
        </w:rPr>
        <w:t>457</w:t>
      </w:r>
      <w:r w:rsidRPr="005E4862">
        <w:rPr>
          <w:rFonts w:ascii="Calibri" w:hAnsi="Calibri"/>
        </w:rPr>
        <w:t>, 1033–1037.</w:t>
      </w:r>
    </w:p>
    <w:p w:rsidR="005E4862" w:rsidRPr="005E4862" w:rsidRDefault="005E4862" w:rsidP="0024634C">
      <w:pPr>
        <w:jc w:val="both"/>
        <w:rPr>
          <w:b/>
        </w:rPr>
      </w:pPr>
      <w:r>
        <w:rPr>
          <w:b/>
        </w:rPr>
        <w:fldChar w:fldCharType="end"/>
      </w:r>
    </w:p>
    <w:sectPr w:rsidR="005E4862" w:rsidRPr="005E4862">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34C"/>
    <w:rsid w:val="0024634C"/>
    <w:rsid w:val="002F4A96"/>
    <w:rsid w:val="00490436"/>
    <w:rsid w:val="004C2E2C"/>
    <w:rsid w:val="005D49EC"/>
    <w:rsid w:val="005E4862"/>
    <w:rsid w:val="009C1FE7"/>
    <w:rsid w:val="00A94FFE"/>
    <w:rsid w:val="00C126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D49AD"/>
  <w15:chartTrackingRefBased/>
  <w15:docId w15:val="{68F620D7-9FCF-4CEF-AE56-7C8E6235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ibliography">
    <w:name w:val="Bibliography"/>
    <w:basedOn w:val="Normal"/>
    <w:next w:val="Normal"/>
    <w:uiPriority w:val="37"/>
    <w:unhideWhenUsed/>
    <w:rsid w:val="005E4862"/>
    <w:pPr>
      <w:spacing w:after="240" w:line="240" w:lineRule="auto"/>
    </w:pPr>
  </w:style>
  <w:style w:type="paragraph" w:styleId="ListParagraph">
    <w:name w:val="List Paragraph"/>
    <w:basedOn w:val="Normal"/>
    <w:uiPriority w:val="34"/>
    <w:qFormat/>
    <w:rsid w:val="005E48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4526</Words>
  <Characters>25799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dc:creator>
  <cp:keywords/>
  <dc:description/>
  <cp:lastModifiedBy>Hanna</cp:lastModifiedBy>
  <cp:revision>2</cp:revision>
  <dcterms:created xsi:type="dcterms:W3CDTF">2021-11-07T10:25:00Z</dcterms:created>
  <dcterms:modified xsi:type="dcterms:W3CDTF">2021-11-07T12:11:00Z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zotero-version="5.0.96.3"&gt;&lt;session id="GxYVAnYk"/&gt;&lt;style id="http://www.zotero.org/styles/cell" hasBibliography="1" bibliographyStyleHasBeenSet="1"/&gt;&lt;prefs&gt;&lt;pref name="fieldType" value="Field"/&gt;&lt;pref name="automaticJournalAbbreviati</vt:lpwstr>
  </property>
  <property fmtid="{D5CDD505-2E9C-101B-9397-08002B2CF9AE}" pid="3" name="ZOTERO_PREF_2">
    <vt:lpwstr>ons" value="true"/&gt;&lt;/prefs&gt;&lt;/data&gt;</vt:lpwstr>
  </property>
</Properties>
</file>