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7187" w14:textId="77777777" w:rsidR="00D25856" w:rsidRPr="00394118" w:rsidRDefault="00D25856" w:rsidP="00D25856">
      <w:pPr>
        <w:spacing w:line="480" w:lineRule="auto"/>
        <w:jc w:val="both"/>
      </w:pPr>
      <w:r w:rsidRPr="00394118">
        <w:rPr>
          <w:b/>
        </w:rPr>
        <w:t xml:space="preserve">Supplemental Figure 1: Characterization of </w:t>
      </w:r>
      <w:proofErr w:type="spellStart"/>
      <w:r w:rsidRPr="00394118">
        <w:rPr>
          <w:b/>
        </w:rPr>
        <w:t>disome</w:t>
      </w:r>
      <w:proofErr w:type="spellEnd"/>
      <w:r w:rsidRPr="00394118">
        <w:rPr>
          <w:b/>
        </w:rPr>
        <w:t xml:space="preserve"> footprints in bacteria.</w:t>
      </w:r>
    </w:p>
    <w:p w14:paraId="73D74F36" w14:textId="77777777" w:rsidR="00D25856" w:rsidRPr="00394118" w:rsidRDefault="00D25856" w:rsidP="00D25856">
      <w:pPr>
        <w:spacing w:line="480" w:lineRule="auto"/>
        <w:jc w:val="both"/>
      </w:pPr>
      <w:r w:rsidRPr="00394118">
        <w:t xml:space="preserve">(A) Meta-gene plots around </w:t>
      </w:r>
      <w:proofErr w:type="spellStart"/>
      <w:r w:rsidRPr="00394118">
        <w:t>disome</w:t>
      </w:r>
      <w:proofErr w:type="spellEnd"/>
      <w:r w:rsidRPr="00394118">
        <w:t xml:space="preserve"> pause sites </w:t>
      </w:r>
      <w:r w:rsidRPr="00394118">
        <w:rPr>
          <w:color w:val="0070C0"/>
        </w:rPr>
        <w:t xml:space="preserve">(Fig 2A) </w:t>
      </w:r>
      <w:r w:rsidRPr="00394118">
        <w:t xml:space="preserve">for published monosome profiling </w:t>
      </w:r>
      <w:hyperlink r:id="rId4">
        <w:r w:rsidRPr="00394118">
          <w:rPr>
            <w:color w:val="000000"/>
          </w:rPr>
          <w:t xml:space="preserve">(Oh et al. 2011; </w:t>
        </w:r>
        <w:proofErr w:type="spellStart"/>
        <w:r w:rsidRPr="00394118">
          <w:rPr>
            <w:color w:val="000000"/>
          </w:rPr>
          <w:t>Woolstenhulme</w:t>
        </w:r>
        <w:proofErr w:type="spellEnd"/>
        <w:r w:rsidRPr="00394118">
          <w:rPr>
            <w:color w:val="000000"/>
          </w:rPr>
          <w:t xml:space="preserve"> et al. 2015; Mohammad et al. 2019)</w:t>
        </w:r>
      </w:hyperlink>
      <w:r w:rsidRPr="00394118">
        <w:t>, which were prepared with different enzymes and cell harvest methods. The conditions (cell harvest method, 3′ sequence addition enzymes/method, and circularization enzymes) are shown in each panel.</w:t>
      </w:r>
    </w:p>
    <w:p w14:paraId="2606BE88" w14:textId="77777777" w:rsidR="00D25856" w:rsidRPr="00394118" w:rsidRDefault="00D25856" w:rsidP="00D25856">
      <w:pPr>
        <w:spacing w:line="480" w:lineRule="auto"/>
        <w:jc w:val="both"/>
      </w:pPr>
      <w:r w:rsidRPr="00394118">
        <w:t xml:space="preserve">(B and C) Metagene plots around the UGG codon, which represents an anti-SD-like sequence </w:t>
      </w:r>
      <w:hyperlink r:id="rId5">
        <w:r w:rsidRPr="00394118">
          <w:rPr>
            <w:color w:val="000000"/>
          </w:rPr>
          <w:t>(Mohammad et al. 2016)</w:t>
        </w:r>
      </w:hyperlink>
      <w:r w:rsidRPr="00394118">
        <w:t xml:space="preserve">, for monosome profiling and </w:t>
      </w:r>
      <w:proofErr w:type="spellStart"/>
      <w:r w:rsidRPr="00394118">
        <w:t>disome</w:t>
      </w:r>
      <w:proofErr w:type="spellEnd"/>
      <w:r w:rsidRPr="00394118">
        <w:t xml:space="preserve"> profiling. In B, monosome footprints are sub-grouped based on length (short, 23-27 </w:t>
      </w:r>
      <w:proofErr w:type="spellStart"/>
      <w:r w:rsidRPr="00394118">
        <w:t>nt</w:t>
      </w:r>
      <w:proofErr w:type="spellEnd"/>
      <w:r w:rsidRPr="00394118">
        <w:t xml:space="preserve"> and long, 35-40 </w:t>
      </w:r>
      <w:proofErr w:type="spellStart"/>
      <w:r w:rsidRPr="00394118">
        <w:t>nt</w:t>
      </w:r>
      <w:proofErr w:type="spellEnd"/>
      <w:r w:rsidRPr="00394118">
        <w:t>).</w:t>
      </w:r>
    </w:p>
    <w:p w14:paraId="6BC8413E" w14:textId="77777777" w:rsidR="00D25856" w:rsidRPr="00394118" w:rsidRDefault="00D25856" w:rsidP="00D25856">
      <w:pPr>
        <w:spacing w:line="480" w:lineRule="auto"/>
        <w:jc w:val="both"/>
      </w:pPr>
      <w:r w:rsidRPr="00394118">
        <w:t xml:space="preserve">(D) Pie chart indicating the positions (CDS or stop codon) of </w:t>
      </w:r>
      <w:proofErr w:type="spellStart"/>
      <w:r w:rsidRPr="00394118">
        <w:t>disome</w:t>
      </w:r>
      <w:proofErr w:type="spellEnd"/>
      <w:r w:rsidRPr="00394118">
        <w:t xml:space="preserve"> pause sites defined in </w:t>
      </w:r>
      <w:r w:rsidRPr="00394118">
        <w:rPr>
          <w:color w:val="0070C0"/>
        </w:rPr>
        <w:t>Fig 2E</w:t>
      </w:r>
      <w:r w:rsidRPr="00394118">
        <w:t>.</w:t>
      </w:r>
    </w:p>
    <w:p w14:paraId="7C7BDF8E" w14:textId="77777777" w:rsidR="00D25856" w:rsidRPr="00394118" w:rsidRDefault="00D25856" w:rsidP="00D25856">
      <w:pPr>
        <w:spacing w:line="480" w:lineRule="auto"/>
        <w:jc w:val="both"/>
      </w:pPr>
      <w:r w:rsidRPr="00394118">
        <w:t xml:space="preserve">(E) Schematic representation of high-salt wash ribosome profiling (left). The monosome occupancies on the stop codon with </w:t>
      </w:r>
      <w:proofErr w:type="spellStart"/>
      <w:r w:rsidRPr="00394118">
        <w:t>disome</w:t>
      </w:r>
      <w:proofErr w:type="spellEnd"/>
      <w:r w:rsidRPr="00394118">
        <w:t xml:space="preserve"> pauses with or without high-salt wash are shown (right).</w:t>
      </w:r>
    </w:p>
    <w:p w14:paraId="373C4A7D" w14:textId="77777777" w:rsidR="00D25856" w:rsidRPr="00394118" w:rsidRDefault="00D25856" w:rsidP="00D25856">
      <w:pPr>
        <w:spacing w:line="480" w:lineRule="auto"/>
        <w:jc w:val="both"/>
      </w:pPr>
    </w:p>
    <w:p w14:paraId="1F0279A6" w14:textId="77777777" w:rsidR="00D25856" w:rsidRPr="00394118" w:rsidRDefault="00D25856" w:rsidP="00D25856">
      <w:pPr>
        <w:spacing w:line="480" w:lineRule="auto"/>
        <w:jc w:val="both"/>
        <w:rPr>
          <w:b/>
        </w:rPr>
      </w:pPr>
    </w:p>
    <w:p w14:paraId="3D019FC9" w14:textId="77777777" w:rsidR="00D25856" w:rsidRPr="00394118" w:rsidRDefault="00D25856" w:rsidP="00D25856">
      <w:pPr>
        <w:spacing w:line="480" w:lineRule="auto"/>
        <w:jc w:val="both"/>
      </w:pPr>
      <w:r w:rsidRPr="00394118">
        <w:rPr>
          <w:b/>
        </w:rPr>
        <w:t xml:space="preserve">Supplemental Figure 2: Motifs associated with </w:t>
      </w:r>
      <w:proofErr w:type="spellStart"/>
      <w:r w:rsidRPr="00394118">
        <w:rPr>
          <w:b/>
        </w:rPr>
        <w:t>disome</w:t>
      </w:r>
      <w:proofErr w:type="spellEnd"/>
      <w:r w:rsidRPr="00394118">
        <w:rPr>
          <w:b/>
        </w:rPr>
        <w:t xml:space="preserve"> pause sites.</w:t>
      </w:r>
    </w:p>
    <w:p w14:paraId="025BAAA1" w14:textId="77777777" w:rsidR="00D25856" w:rsidRPr="00394118" w:rsidRDefault="00D25856" w:rsidP="00D25856">
      <w:pPr>
        <w:spacing w:line="480" w:lineRule="auto"/>
        <w:jc w:val="both"/>
      </w:pPr>
      <w:r w:rsidRPr="00394118">
        <w:t>(A and B) Net charge (A) and hydrophobicity (</w:t>
      </w:r>
      <w:proofErr w:type="spellStart"/>
      <w:r w:rsidRPr="00394118">
        <w:t>Kyte</w:t>
      </w:r>
      <w:proofErr w:type="spellEnd"/>
      <w:r w:rsidRPr="00394118">
        <w:t xml:space="preserve">-Doolittle scale) of the amino acids upstream of </w:t>
      </w:r>
      <w:proofErr w:type="spellStart"/>
      <w:r w:rsidRPr="00394118">
        <w:t>disome</w:t>
      </w:r>
      <w:proofErr w:type="spellEnd"/>
      <w:r w:rsidRPr="00394118">
        <w:t xml:space="preserve"> (top) and monosome (bottom) pause sites.</w:t>
      </w:r>
    </w:p>
    <w:p w14:paraId="11AD9658" w14:textId="77777777" w:rsidR="00D25856" w:rsidRPr="00394118" w:rsidRDefault="00D25856" w:rsidP="00D25856">
      <w:pPr>
        <w:spacing w:line="480" w:lineRule="auto"/>
        <w:jc w:val="both"/>
      </w:pPr>
      <w:r w:rsidRPr="00394118">
        <w:t xml:space="preserve">(C) Motif associated with </w:t>
      </w:r>
      <w:proofErr w:type="spellStart"/>
      <w:r w:rsidRPr="00394118">
        <w:t>disome</w:t>
      </w:r>
      <w:proofErr w:type="spellEnd"/>
      <w:r w:rsidRPr="00394118">
        <w:t xml:space="preserve"> (top) and monosome (bottom) pause sites. Amino acid sequences enriched around the pause sites were analyzed by </w:t>
      </w:r>
      <w:proofErr w:type="spellStart"/>
      <w:r w:rsidRPr="00394118">
        <w:t>kpLogo</w:t>
      </w:r>
      <w:proofErr w:type="spellEnd"/>
      <w:r w:rsidRPr="00394118">
        <w:t xml:space="preserve"> </w:t>
      </w:r>
      <w:hyperlink r:id="rId6">
        <w:r w:rsidRPr="00394118">
          <w:rPr>
            <w:color w:val="000000"/>
          </w:rPr>
          <w:t xml:space="preserve">(Wu and </w:t>
        </w:r>
        <w:proofErr w:type="spellStart"/>
        <w:r w:rsidRPr="00394118">
          <w:rPr>
            <w:color w:val="000000"/>
          </w:rPr>
          <w:t>Bartel</w:t>
        </w:r>
        <w:proofErr w:type="spellEnd"/>
        <w:r w:rsidRPr="00394118">
          <w:rPr>
            <w:color w:val="000000"/>
          </w:rPr>
          <w:t xml:space="preserve"> 2017)</w:t>
        </w:r>
      </w:hyperlink>
      <w:r w:rsidRPr="00394118">
        <w:t>.</w:t>
      </w:r>
    </w:p>
    <w:p w14:paraId="4B6D55C2" w14:textId="77777777" w:rsidR="00D25856" w:rsidRPr="00394118" w:rsidRDefault="00D25856" w:rsidP="00D25856">
      <w:pPr>
        <w:spacing w:line="480" w:lineRule="auto"/>
        <w:jc w:val="both"/>
      </w:pPr>
    </w:p>
    <w:p w14:paraId="3C7FCF44" w14:textId="77777777" w:rsidR="00D25856" w:rsidRPr="00394118" w:rsidRDefault="00D25856" w:rsidP="00D25856">
      <w:pPr>
        <w:spacing w:line="480" w:lineRule="auto"/>
        <w:jc w:val="both"/>
      </w:pPr>
    </w:p>
    <w:p w14:paraId="0E3F2ABD" w14:textId="77777777" w:rsidR="00D25856" w:rsidRPr="00394118" w:rsidRDefault="00D25856" w:rsidP="00D25856">
      <w:pPr>
        <w:spacing w:line="480" w:lineRule="auto"/>
        <w:jc w:val="both"/>
        <w:rPr>
          <w:b/>
        </w:rPr>
      </w:pPr>
      <w:r w:rsidRPr="00394118">
        <w:rPr>
          <w:b/>
        </w:rPr>
        <w:t xml:space="preserve">Supplemental Figure 3: Comparison of </w:t>
      </w:r>
      <w:proofErr w:type="spellStart"/>
      <w:r w:rsidRPr="00394118">
        <w:rPr>
          <w:b/>
        </w:rPr>
        <w:t>disome</w:t>
      </w:r>
      <w:proofErr w:type="spellEnd"/>
      <w:r w:rsidRPr="00394118">
        <w:rPr>
          <w:b/>
        </w:rPr>
        <w:t xml:space="preserve"> and </w:t>
      </w:r>
      <w:proofErr w:type="spellStart"/>
      <w:r w:rsidRPr="00394118">
        <w:rPr>
          <w:b/>
        </w:rPr>
        <w:t>mosome</w:t>
      </w:r>
      <w:proofErr w:type="spellEnd"/>
      <w:r w:rsidRPr="00394118">
        <w:rPr>
          <w:b/>
        </w:rPr>
        <w:t xml:space="preserve"> pause sites to </w:t>
      </w:r>
      <w:proofErr w:type="spellStart"/>
      <w:r w:rsidRPr="00394118">
        <w:rPr>
          <w:b/>
        </w:rPr>
        <w:t>iNP</w:t>
      </w:r>
      <w:proofErr w:type="spellEnd"/>
      <w:r w:rsidRPr="00394118">
        <w:rPr>
          <w:b/>
        </w:rPr>
        <w:t>.</w:t>
      </w:r>
    </w:p>
    <w:p w14:paraId="28574FA1" w14:textId="77777777" w:rsidR="00D25856" w:rsidRPr="00394118" w:rsidRDefault="00D25856" w:rsidP="00D25856">
      <w:pPr>
        <w:spacing w:line="480" w:lineRule="auto"/>
        <w:jc w:val="both"/>
      </w:pPr>
      <w:r w:rsidRPr="00394118">
        <w:lastRenderedPageBreak/>
        <w:t xml:space="preserve">(A) Pie chart showing the results of earlier </w:t>
      </w:r>
      <w:r w:rsidRPr="00394118">
        <w:rPr>
          <w:i/>
        </w:rPr>
        <w:t>in vitro</w:t>
      </w:r>
      <w:r w:rsidRPr="00394118">
        <w:t xml:space="preserve"> </w:t>
      </w:r>
      <w:proofErr w:type="spellStart"/>
      <w:r w:rsidRPr="00394118">
        <w:t>iNP</w:t>
      </w:r>
      <w:proofErr w:type="spellEnd"/>
      <w:r w:rsidRPr="00394118">
        <w:t xml:space="preserve"> (left) or </w:t>
      </w:r>
      <w:r w:rsidRPr="00394118">
        <w:rPr>
          <w:i/>
        </w:rPr>
        <w:t xml:space="preserve">in vivo </w:t>
      </w:r>
      <w:proofErr w:type="spellStart"/>
      <w:r w:rsidRPr="00394118">
        <w:t>iNP</w:t>
      </w:r>
      <w:proofErr w:type="spellEnd"/>
      <w:r w:rsidRPr="00394118">
        <w:t xml:space="preserve"> (right) </w:t>
      </w:r>
      <w:hyperlink r:id="rId7">
        <w:r w:rsidRPr="00394118">
          <w:rPr>
            <w:color w:val="000000"/>
          </w:rPr>
          <w:t>(</w:t>
        </w:r>
        <w:proofErr w:type="spellStart"/>
        <w:r w:rsidRPr="00394118">
          <w:rPr>
            <w:color w:val="000000"/>
          </w:rPr>
          <w:t>Chadani</w:t>
        </w:r>
        <w:proofErr w:type="spellEnd"/>
        <w:r w:rsidRPr="00394118">
          <w:rPr>
            <w:color w:val="000000"/>
          </w:rPr>
          <w:t xml:space="preserve"> et al. 2016)</w:t>
        </w:r>
      </w:hyperlink>
      <w:r w:rsidRPr="00394118">
        <w:t>.</w:t>
      </w:r>
    </w:p>
    <w:p w14:paraId="3896AB74" w14:textId="77777777" w:rsidR="00D25856" w:rsidRPr="00394118" w:rsidRDefault="00D25856" w:rsidP="00D25856">
      <w:pPr>
        <w:spacing w:line="480" w:lineRule="auto"/>
        <w:jc w:val="both"/>
      </w:pPr>
      <w:r w:rsidRPr="00394118">
        <w:t xml:space="preserve">(B) Numbers of overlapping genes with </w:t>
      </w:r>
      <w:proofErr w:type="spellStart"/>
      <w:r w:rsidRPr="00394118">
        <w:t>disome</w:t>
      </w:r>
      <w:proofErr w:type="spellEnd"/>
      <w:r w:rsidRPr="00394118">
        <w:t xml:space="preserve"> pause sites and those analyzed in </w:t>
      </w:r>
      <w:r w:rsidRPr="00394118">
        <w:rPr>
          <w:i/>
        </w:rPr>
        <w:t>in vivo</w:t>
      </w:r>
      <w:r w:rsidRPr="00394118">
        <w:t xml:space="preserve"> (left) and </w:t>
      </w:r>
      <w:r w:rsidRPr="00394118">
        <w:rPr>
          <w:i/>
        </w:rPr>
        <w:t>in vitro</w:t>
      </w:r>
      <w:r w:rsidRPr="00394118">
        <w:t xml:space="preserve"> (right) </w:t>
      </w:r>
      <w:proofErr w:type="spellStart"/>
      <w:r w:rsidRPr="00394118">
        <w:t>iNP</w:t>
      </w:r>
      <w:proofErr w:type="spellEnd"/>
      <w:r w:rsidRPr="00394118">
        <w:t xml:space="preserve"> </w:t>
      </w:r>
      <w:hyperlink r:id="rId8">
        <w:r w:rsidRPr="00394118">
          <w:rPr>
            <w:color w:val="000000"/>
          </w:rPr>
          <w:t>(</w:t>
        </w:r>
        <w:proofErr w:type="spellStart"/>
        <w:r w:rsidRPr="00394118">
          <w:rPr>
            <w:color w:val="000000"/>
          </w:rPr>
          <w:t>Chadani</w:t>
        </w:r>
        <w:proofErr w:type="spellEnd"/>
        <w:r w:rsidRPr="00394118">
          <w:rPr>
            <w:color w:val="000000"/>
          </w:rPr>
          <w:t xml:space="preserve"> et al. 2016)</w:t>
        </w:r>
      </w:hyperlink>
      <w:r w:rsidRPr="00394118">
        <w:t xml:space="preserve"> (top). On the bottom, the correlation between the molecular weight (M.W.) of </w:t>
      </w:r>
      <w:proofErr w:type="spellStart"/>
      <w:r w:rsidRPr="00394118">
        <w:t>polypeptidyl</w:t>
      </w:r>
      <w:proofErr w:type="spellEnd"/>
      <w:r w:rsidRPr="00394118">
        <w:t xml:space="preserve">-tRNA predicted by gel migration in </w:t>
      </w:r>
      <w:r w:rsidRPr="00394118">
        <w:rPr>
          <w:i/>
        </w:rPr>
        <w:t>in vivo</w:t>
      </w:r>
      <w:r w:rsidRPr="00394118">
        <w:t xml:space="preserve"> (left) and </w:t>
      </w:r>
      <w:r w:rsidRPr="00394118">
        <w:rPr>
          <w:i/>
        </w:rPr>
        <w:t>in vitro</w:t>
      </w:r>
      <w:r w:rsidRPr="00394118">
        <w:t xml:space="preserve"> (right) </w:t>
      </w:r>
      <w:proofErr w:type="spellStart"/>
      <w:r w:rsidRPr="00394118">
        <w:t>iNP</w:t>
      </w:r>
      <w:proofErr w:type="spellEnd"/>
      <w:r w:rsidRPr="00394118">
        <w:t xml:space="preserve"> and that identified in ribosome profiling are shown.</w:t>
      </w:r>
    </w:p>
    <w:p w14:paraId="073C646D" w14:textId="77777777" w:rsidR="00D25856" w:rsidRPr="00394118" w:rsidRDefault="00D25856" w:rsidP="00D25856">
      <w:pPr>
        <w:spacing w:line="480" w:lineRule="auto"/>
        <w:jc w:val="both"/>
      </w:pPr>
      <w:r w:rsidRPr="00394118">
        <w:t xml:space="preserve">(C) The same as (B) but for the comparison with monosome </w:t>
      </w:r>
      <w:proofErr w:type="gramStart"/>
      <w:r w:rsidRPr="00394118">
        <w:t>pause</w:t>
      </w:r>
      <w:proofErr w:type="gramEnd"/>
      <w:r w:rsidRPr="00394118">
        <w:t xml:space="preserve"> sites.</w:t>
      </w:r>
    </w:p>
    <w:p w14:paraId="32E55090" w14:textId="77777777" w:rsidR="00D25856" w:rsidRPr="00394118" w:rsidRDefault="00D25856" w:rsidP="00D25856">
      <w:pPr>
        <w:spacing w:line="480" w:lineRule="auto"/>
        <w:jc w:val="both"/>
      </w:pPr>
    </w:p>
    <w:p w14:paraId="2250692C" w14:textId="77777777" w:rsidR="00D25856" w:rsidRPr="00394118" w:rsidRDefault="00D25856" w:rsidP="00D25856">
      <w:pPr>
        <w:spacing w:line="480" w:lineRule="auto"/>
        <w:jc w:val="both"/>
      </w:pPr>
    </w:p>
    <w:p w14:paraId="01DF940E" w14:textId="77777777" w:rsidR="00D25856" w:rsidRPr="00394118" w:rsidRDefault="00D25856" w:rsidP="00D25856">
      <w:pPr>
        <w:spacing w:line="480" w:lineRule="auto"/>
        <w:jc w:val="both"/>
      </w:pPr>
      <w:r w:rsidRPr="00394118">
        <w:rPr>
          <w:b/>
        </w:rPr>
        <w:t xml:space="preserve">Supplemental Figure 4: Characterization of ribosome pause on </w:t>
      </w:r>
      <w:proofErr w:type="spellStart"/>
      <w:r w:rsidRPr="00394118">
        <w:rPr>
          <w:b/>
          <w:i/>
        </w:rPr>
        <w:t>ycbZ</w:t>
      </w:r>
      <w:proofErr w:type="spellEnd"/>
      <w:r w:rsidRPr="00394118">
        <w:rPr>
          <w:b/>
        </w:rPr>
        <w:t xml:space="preserve"> by </w:t>
      </w:r>
      <w:proofErr w:type="spellStart"/>
      <w:r w:rsidRPr="00394118">
        <w:rPr>
          <w:b/>
        </w:rPr>
        <w:t>iNP</w:t>
      </w:r>
      <w:proofErr w:type="spellEnd"/>
      <w:r w:rsidRPr="00394118">
        <w:rPr>
          <w:b/>
        </w:rPr>
        <w:t>.</w:t>
      </w:r>
    </w:p>
    <w:p w14:paraId="793F931B" w14:textId="77777777" w:rsidR="00D25856" w:rsidRPr="00394118" w:rsidRDefault="00D25856" w:rsidP="00D25856">
      <w:pPr>
        <w:spacing w:line="480" w:lineRule="auto"/>
        <w:jc w:val="both"/>
      </w:pPr>
      <w:r w:rsidRPr="00394118">
        <w:t xml:space="preserve">(A) </w:t>
      </w:r>
      <w:r w:rsidRPr="00394118">
        <w:rPr>
          <w:i/>
        </w:rPr>
        <w:t>In vitro</w:t>
      </w:r>
      <w:r w:rsidRPr="00394118">
        <w:t xml:space="preserve"> </w:t>
      </w:r>
      <w:proofErr w:type="spellStart"/>
      <w:r w:rsidRPr="00394118">
        <w:t>iNP</w:t>
      </w:r>
      <w:proofErr w:type="spellEnd"/>
      <w:r w:rsidRPr="00394118">
        <w:t xml:space="preserve"> for </w:t>
      </w:r>
      <w:proofErr w:type="spellStart"/>
      <w:r w:rsidRPr="00394118">
        <w:rPr>
          <w:i/>
        </w:rPr>
        <w:t>ycbZ</w:t>
      </w:r>
      <w:proofErr w:type="spellEnd"/>
      <w:r w:rsidRPr="00394118">
        <w:t xml:space="preserve"> mRNAs. RNase-sensitive </w:t>
      </w:r>
      <w:proofErr w:type="spellStart"/>
      <w:r w:rsidRPr="00394118">
        <w:t>polypeptidyl</w:t>
      </w:r>
      <w:proofErr w:type="spellEnd"/>
      <w:r w:rsidRPr="00394118">
        <w:t xml:space="preserve">-tRNAs are indicated by arrowheads. </w:t>
      </w:r>
      <w:proofErr w:type="spellStart"/>
      <w:r w:rsidRPr="00394118">
        <w:rPr>
          <w:i/>
        </w:rPr>
        <w:t>secM</w:t>
      </w:r>
      <w:proofErr w:type="spellEnd"/>
      <w:r w:rsidRPr="00394118">
        <w:t xml:space="preserve"> mRNA were used as positive control.</w:t>
      </w:r>
    </w:p>
    <w:p w14:paraId="16FB7198" w14:textId="77777777" w:rsidR="00D25856" w:rsidRPr="00394118" w:rsidRDefault="00D25856" w:rsidP="00D25856">
      <w:pPr>
        <w:spacing w:line="480" w:lineRule="auto"/>
        <w:jc w:val="both"/>
      </w:pPr>
      <w:r w:rsidRPr="00394118">
        <w:t xml:space="preserve">(B) Mutational analysis of the </w:t>
      </w:r>
      <w:proofErr w:type="spellStart"/>
      <w:r w:rsidRPr="00394118">
        <w:rPr>
          <w:i/>
        </w:rPr>
        <w:t>ycbZ</w:t>
      </w:r>
      <w:proofErr w:type="spellEnd"/>
      <w:r w:rsidRPr="00394118">
        <w:t xml:space="preserve"> motif. The quantification is shown in </w:t>
      </w:r>
      <w:r w:rsidRPr="00394118">
        <w:rPr>
          <w:color w:val="0070C0"/>
        </w:rPr>
        <w:t>Fig. 4E</w:t>
      </w:r>
      <w:r w:rsidRPr="00394118">
        <w:t xml:space="preserve">. Mutations in residues are indicated in </w:t>
      </w:r>
      <w:r w:rsidRPr="00394118">
        <w:rPr>
          <w:color w:val="0070C0"/>
        </w:rPr>
        <w:t>Fig. 4D</w:t>
      </w:r>
      <w:r w:rsidRPr="00394118">
        <w:t xml:space="preserve">. Pep-tRNA, </w:t>
      </w:r>
      <w:proofErr w:type="spellStart"/>
      <w:r w:rsidRPr="00394118">
        <w:t>polypeptidyl</w:t>
      </w:r>
      <w:proofErr w:type="spellEnd"/>
      <w:r w:rsidRPr="00394118">
        <w:t>-tRNA.</w:t>
      </w:r>
    </w:p>
    <w:p w14:paraId="4741854C" w14:textId="77777777" w:rsidR="00D25856" w:rsidRPr="00394118" w:rsidRDefault="00D25856" w:rsidP="00D25856">
      <w:pPr>
        <w:spacing w:line="480" w:lineRule="auto"/>
        <w:jc w:val="both"/>
      </w:pPr>
    </w:p>
    <w:p w14:paraId="37A38D7A" w14:textId="77777777" w:rsidR="00D25856" w:rsidRPr="00394118" w:rsidRDefault="00D25856" w:rsidP="00D25856">
      <w:pPr>
        <w:spacing w:line="480" w:lineRule="auto"/>
        <w:jc w:val="both"/>
      </w:pPr>
    </w:p>
    <w:p w14:paraId="18774522" w14:textId="77777777" w:rsidR="00D25856" w:rsidRPr="00394118" w:rsidRDefault="00D25856" w:rsidP="00D25856">
      <w:pPr>
        <w:spacing w:line="480" w:lineRule="auto"/>
        <w:jc w:val="both"/>
      </w:pPr>
      <w:r w:rsidRPr="00394118">
        <w:rPr>
          <w:b/>
        </w:rPr>
        <w:t xml:space="preserve">Supplemental Figure 5: Preparation of </w:t>
      </w:r>
      <w:proofErr w:type="spellStart"/>
      <w:r w:rsidRPr="00394118">
        <w:rPr>
          <w:b/>
          <w:i/>
        </w:rPr>
        <w:t>ycbZ</w:t>
      </w:r>
      <w:proofErr w:type="spellEnd"/>
      <w:r w:rsidRPr="00394118">
        <w:rPr>
          <w:b/>
        </w:rPr>
        <w:t>-stalled ribosomes for cryo-EM analysis.</w:t>
      </w:r>
    </w:p>
    <w:p w14:paraId="32A3EB97" w14:textId="77777777" w:rsidR="00D25856" w:rsidRPr="00394118" w:rsidRDefault="00D25856" w:rsidP="00D25856">
      <w:pPr>
        <w:spacing w:line="480" w:lineRule="auto"/>
        <w:jc w:val="both"/>
      </w:pPr>
      <w:r w:rsidRPr="00394118">
        <w:t>(A) Schematic representation of the RNC purification procedure.</w:t>
      </w:r>
    </w:p>
    <w:p w14:paraId="5591C936" w14:textId="77777777" w:rsidR="00D25856" w:rsidRPr="00394118" w:rsidRDefault="00D25856" w:rsidP="00D25856">
      <w:pPr>
        <w:spacing w:line="480" w:lineRule="auto"/>
        <w:jc w:val="both"/>
        <w:rPr>
          <w:b/>
        </w:rPr>
      </w:pPr>
      <w:r w:rsidRPr="00394118">
        <w:t xml:space="preserve">(B) Western blotting for </w:t>
      </w:r>
      <w:proofErr w:type="spellStart"/>
      <w:r w:rsidRPr="00394118">
        <w:t>polypeptidyl</w:t>
      </w:r>
      <w:proofErr w:type="spellEnd"/>
      <w:r w:rsidRPr="00394118">
        <w:t>-tRNA probed by the HA tag (left) and Coomassie Brilliant Blue (CBB)-stained gel of proteins in RNC (right).</w:t>
      </w:r>
    </w:p>
    <w:p w14:paraId="54E0EFC9" w14:textId="77777777" w:rsidR="00D25856" w:rsidRPr="00394118" w:rsidRDefault="00D25856" w:rsidP="00D25856">
      <w:pPr>
        <w:spacing w:line="480" w:lineRule="auto"/>
        <w:jc w:val="both"/>
      </w:pPr>
      <w:r w:rsidRPr="00394118">
        <w:t>(C) Sucrose density gradient of affinity-purified RNCs. The fractions corresponding to 70S were collected for downstream cryo-EM analysis.</w:t>
      </w:r>
    </w:p>
    <w:p w14:paraId="545BE3AF" w14:textId="77777777" w:rsidR="00D25856" w:rsidRPr="00394118" w:rsidRDefault="00D25856" w:rsidP="00D25856">
      <w:pPr>
        <w:spacing w:line="480" w:lineRule="auto"/>
        <w:jc w:val="both"/>
      </w:pPr>
    </w:p>
    <w:p w14:paraId="643A9F77" w14:textId="77777777" w:rsidR="00D25856" w:rsidRPr="00394118" w:rsidRDefault="00D25856" w:rsidP="00D25856">
      <w:pPr>
        <w:spacing w:line="480" w:lineRule="auto"/>
        <w:jc w:val="both"/>
      </w:pPr>
    </w:p>
    <w:p w14:paraId="380491D7" w14:textId="77777777" w:rsidR="00D25856" w:rsidRPr="00394118" w:rsidRDefault="00D25856" w:rsidP="00D25856">
      <w:pPr>
        <w:spacing w:line="480" w:lineRule="auto"/>
        <w:jc w:val="both"/>
      </w:pPr>
      <w:r w:rsidRPr="00394118">
        <w:rPr>
          <w:b/>
        </w:rPr>
        <w:t xml:space="preserve">Supplemental Figure 6: Characterization of the structure of </w:t>
      </w:r>
      <w:proofErr w:type="spellStart"/>
      <w:r w:rsidRPr="00394118">
        <w:rPr>
          <w:b/>
          <w:i/>
        </w:rPr>
        <w:t>ycbZ</w:t>
      </w:r>
      <w:proofErr w:type="spellEnd"/>
      <w:r w:rsidRPr="00394118">
        <w:rPr>
          <w:b/>
        </w:rPr>
        <w:t>-stalled ribosomes.</w:t>
      </w:r>
    </w:p>
    <w:p w14:paraId="225BB761" w14:textId="77777777" w:rsidR="00D25856" w:rsidRPr="00394118" w:rsidRDefault="00D25856" w:rsidP="00D25856">
      <w:pPr>
        <w:spacing w:line="480" w:lineRule="auto"/>
        <w:jc w:val="both"/>
      </w:pPr>
      <w:r w:rsidRPr="00394118">
        <w:t xml:space="preserve">(A) Image processing of the 70S ribosomes stalled with </w:t>
      </w:r>
      <w:proofErr w:type="spellStart"/>
      <w:r w:rsidRPr="00394118">
        <w:rPr>
          <w:i/>
        </w:rPr>
        <w:t>ycbZ</w:t>
      </w:r>
      <w:proofErr w:type="spellEnd"/>
      <w:r w:rsidRPr="00394118">
        <w:t>. In total, 77k particles were extracted followed by 2D classification to obtain good particles (63k particles). The dataset converged into the consensus reconstruction, and then 3D classification was performed. The dataset was classified into six subgroups. The major population (64%) assigned to the 70S ribosomes in a nonrotated state was further processed. The obtained refined cryo-EM structure has a resolution of 3.3 Å.</w:t>
      </w:r>
    </w:p>
    <w:p w14:paraId="3396C8A6" w14:textId="77777777" w:rsidR="00D25856" w:rsidRPr="00394118" w:rsidRDefault="00D25856" w:rsidP="00D25856">
      <w:pPr>
        <w:spacing w:line="480" w:lineRule="auto"/>
        <w:jc w:val="both"/>
      </w:pPr>
      <w:r w:rsidRPr="00394118">
        <w:t xml:space="preserve">(B and C) Fourier shell correlation curves of the </w:t>
      </w:r>
      <w:proofErr w:type="spellStart"/>
      <w:r w:rsidRPr="00394118">
        <w:rPr>
          <w:i/>
        </w:rPr>
        <w:t>ycbZ</w:t>
      </w:r>
      <w:proofErr w:type="spellEnd"/>
      <w:r w:rsidRPr="00394118">
        <w:t>-stalled ribosome (B) and models vs. cryo-EM maps (C) are shown.</w:t>
      </w:r>
    </w:p>
    <w:p w14:paraId="3A9C5BED" w14:textId="77777777" w:rsidR="00D25856" w:rsidRPr="00394118" w:rsidRDefault="00D25856" w:rsidP="00D25856">
      <w:pPr>
        <w:spacing w:line="480" w:lineRule="auto"/>
        <w:jc w:val="both"/>
      </w:pPr>
      <w:r w:rsidRPr="00394118">
        <w:t xml:space="preserve">(D) Color-coded local resolution distributions of cryo-EM maps for the </w:t>
      </w:r>
      <w:proofErr w:type="spellStart"/>
      <w:r w:rsidRPr="00394118">
        <w:rPr>
          <w:i/>
        </w:rPr>
        <w:t>ycbZ</w:t>
      </w:r>
      <w:proofErr w:type="spellEnd"/>
      <w:r w:rsidRPr="00394118">
        <w:t>-stalled ribosome.</w:t>
      </w:r>
    </w:p>
    <w:p w14:paraId="1B7F61DA" w14:textId="77777777" w:rsidR="00D25856" w:rsidRPr="00394118" w:rsidRDefault="00D25856" w:rsidP="00D25856">
      <w:pPr>
        <w:spacing w:line="480" w:lineRule="auto"/>
        <w:jc w:val="both"/>
      </w:pPr>
    </w:p>
    <w:p w14:paraId="00D99801" w14:textId="77777777" w:rsidR="00D25856" w:rsidRPr="00394118" w:rsidRDefault="00D25856" w:rsidP="00D25856">
      <w:pPr>
        <w:spacing w:line="480" w:lineRule="auto"/>
        <w:jc w:val="both"/>
      </w:pPr>
    </w:p>
    <w:p w14:paraId="36A90D7E" w14:textId="77777777" w:rsidR="00D25856" w:rsidRPr="00394118" w:rsidRDefault="00D25856" w:rsidP="00D25856">
      <w:pPr>
        <w:spacing w:line="480" w:lineRule="auto"/>
        <w:jc w:val="both"/>
      </w:pPr>
      <w:r w:rsidRPr="00394118">
        <w:rPr>
          <w:b/>
        </w:rPr>
        <w:t xml:space="preserve">Supplemental Figure 7: Characterization of P-site tRNA in the </w:t>
      </w:r>
      <w:proofErr w:type="spellStart"/>
      <w:r w:rsidRPr="00394118">
        <w:rPr>
          <w:b/>
          <w:i/>
        </w:rPr>
        <w:t>ycbZ</w:t>
      </w:r>
      <w:proofErr w:type="spellEnd"/>
      <w:r w:rsidRPr="00394118">
        <w:rPr>
          <w:b/>
        </w:rPr>
        <w:t>-stalled ribosome.</w:t>
      </w:r>
    </w:p>
    <w:p w14:paraId="0E777E48" w14:textId="77777777" w:rsidR="00D25856" w:rsidRPr="00394118" w:rsidRDefault="00D25856" w:rsidP="00D25856">
      <w:pPr>
        <w:spacing w:line="480" w:lineRule="auto"/>
        <w:jc w:val="both"/>
      </w:pPr>
      <w:r w:rsidRPr="00394118">
        <w:t xml:space="preserve">(A) Q-score estimation for the models of residues involved in the codon-anticodon interactions of Pro or </w:t>
      </w:r>
      <w:proofErr w:type="spellStart"/>
      <w:r w:rsidRPr="00394118">
        <w:t>Asn</w:t>
      </w:r>
      <w:proofErr w:type="spellEnd"/>
      <w:r w:rsidRPr="00394118">
        <w:t xml:space="preserve"> to the cryo-EM reconstruction. The model for the Pro codon (CCG) with </w:t>
      </w:r>
      <w:proofErr w:type="spellStart"/>
      <w:r w:rsidRPr="00394118">
        <w:t>tRNA</w:t>
      </w:r>
      <w:r w:rsidRPr="00394118">
        <w:rPr>
          <w:vertAlign w:val="superscript"/>
        </w:rPr>
        <w:t>Pro</w:t>
      </w:r>
      <w:r w:rsidRPr="00394118">
        <w:rPr>
          <w:vertAlign w:val="subscript"/>
        </w:rPr>
        <w:t>CGG</w:t>
      </w:r>
      <w:proofErr w:type="spellEnd"/>
      <w:r w:rsidRPr="00394118">
        <w:t xml:space="preserve"> (left) or the model for the </w:t>
      </w:r>
      <w:proofErr w:type="spellStart"/>
      <w:r w:rsidRPr="00394118">
        <w:t>Asn</w:t>
      </w:r>
      <w:proofErr w:type="spellEnd"/>
      <w:r w:rsidRPr="00394118">
        <w:t xml:space="preserve"> codon (AAC) with the </w:t>
      </w:r>
      <w:proofErr w:type="spellStart"/>
      <w:r w:rsidRPr="00394118">
        <w:t>tRNA</w:t>
      </w:r>
      <w:r w:rsidRPr="00394118">
        <w:rPr>
          <w:vertAlign w:val="superscript"/>
        </w:rPr>
        <w:t>Asn</w:t>
      </w:r>
      <w:r w:rsidRPr="00394118">
        <w:rPr>
          <w:vertAlign w:val="subscript"/>
        </w:rPr>
        <w:t>GUU</w:t>
      </w:r>
      <w:proofErr w:type="spellEnd"/>
      <w:r w:rsidRPr="00394118">
        <w:t xml:space="preserve"> model (right) is superimposed on the cryo-EM reconstruction. The Q-score </w:t>
      </w:r>
      <w:hyperlink r:id="rId9">
        <w:r w:rsidRPr="00394118">
          <w:rPr>
            <w:color w:val="000000"/>
          </w:rPr>
          <w:t>(</w:t>
        </w:r>
        <w:proofErr w:type="spellStart"/>
        <w:r w:rsidRPr="00394118">
          <w:rPr>
            <w:color w:val="000000"/>
          </w:rPr>
          <w:t>Pintilie</w:t>
        </w:r>
        <w:proofErr w:type="spellEnd"/>
        <w:r w:rsidRPr="00394118">
          <w:rPr>
            <w:color w:val="000000"/>
          </w:rPr>
          <w:t xml:space="preserve"> et al. 2020)</w:t>
        </w:r>
      </w:hyperlink>
      <w:r w:rsidRPr="00394118">
        <w:t xml:space="preserve"> for each residue is shown next to the labels.</w:t>
      </w:r>
    </w:p>
    <w:p w14:paraId="1934577E" w14:textId="77777777" w:rsidR="00D25856" w:rsidRPr="00394118" w:rsidRDefault="00D25856" w:rsidP="00D25856">
      <w:pPr>
        <w:spacing w:line="480" w:lineRule="auto"/>
        <w:jc w:val="both"/>
      </w:pPr>
      <w:r w:rsidRPr="00394118">
        <w:t xml:space="preserve">(B and C) Magnified view of the CCA end of the </w:t>
      </w:r>
      <w:proofErr w:type="spellStart"/>
      <w:r w:rsidRPr="00394118">
        <w:rPr>
          <w:i/>
        </w:rPr>
        <w:t>ycbZ</w:t>
      </w:r>
      <w:proofErr w:type="spellEnd"/>
      <w:r w:rsidRPr="00394118">
        <w:t xml:space="preserve">-stalled 70S ribosome and comparison with the tRNA-bound 70S ribosome in the pre-attack state. (B) The atomic model is superimposed on the cryo-EM reconstruction. (C) Structural comparison of the model obtained in this study with the structure of the tRNA-bound 70S ribosome in the pre-attack state (PDB ID: 1VY4) </w:t>
      </w:r>
      <w:hyperlink r:id="rId10">
        <w:r w:rsidRPr="00394118">
          <w:rPr>
            <w:color w:val="000000"/>
          </w:rPr>
          <w:t>(</w:t>
        </w:r>
        <w:proofErr w:type="spellStart"/>
        <w:r w:rsidRPr="00394118">
          <w:rPr>
            <w:color w:val="000000"/>
          </w:rPr>
          <w:t>Polikanov</w:t>
        </w:r>
        <w:proofErr w:type="spellEnd"/>
        <w:r w:rsidRPr="00394118">
          <w:rPr>
            <w:color w:val="000000"/>
          </w:rPr>
          <w:t xml:space="preserve"> et al. 2014)</w:t>
        </w:r>
      </w:hyperlink>
      <w:r w:rsidRPr="00394118">
        <w:t>.</w:t>
      </w:r>
    </w:p>
    <w:p w14:paraId="080D2D41" w14:textId="77777777" w:rsidR="00D25856" w:rsidRPr="00394118" w:rsidRDefault="00D25856" w:rsidP="00D25856">
      <w:pPr>
        <w:spacing w:line="480" w:lineRule="auto"/>
        <w:jc w:val="both"/>
      </w:pPr>
      <w:r w:rsidRPr="00394118">
        <w:lastRenderedPageBreak/>
        <w:t xml:space="preserve">(D) Western blot analysis of the translation product (probed by HA epitope) from the </w:t>
      </w:r>
      <w:proofErr w:type="spellStart"/>
      <w:r w:rsidRPr="00394118">
        <w:rPr>
          <w:i/>
        </w:rPr>
        <w:t>ycbZ</w:t>
      </w:r>
      <w:proofErr w:type="spellEnd"/>
      <w:r w:rsidRPr="00394118">
        <w:t xml:space="preserve"> motif reporter subjected to SDS-PAGE at neutral </w:t>
      </w:r>
      <w:proofErr w:type="spellStart"/>
      <w:r w:rsidRPr="00394118">
        <w:t>pH.</w:t>
      </w:r>
      <w:proofErr w:type="spellEnd"/>
      <w:r w:rsidRPr="00394118">
        <w:t xml:space="preserve"> The reaction was further treated with puromycin. Pep-tRNA, </w:t>
      </w:r>
      <w:proofErr w:type="spellStart"/>
      <w:r w:rsidRPr="00394118">
        <w:t>polypeptidyl</w:t>
      </w:r>
      <w:proofErr w:type="spellEnd"/>
      <w:r w:rsidRPr="00394118">
        <w:t>-tRNA.</w:t>
      </w:r>
    </w:p>
    <w:p w14:paraId="7C8DDE17" w14:textId="77777777" w:rsidR="00D25856" w:rsidRPr="00394118" w:rsidRDefault="00D25856" w:rsidP="00D25856">
      <w:pPr>
        <w:spacing w:line="480" w:lineRule="auto"/>
        <w:jc w:val="both"/>
        <w:rPr>
          <w:b/>
        </w:rPr>
      </w:pPr>
    </w:p>
    <w:p w14:paraId="698E237F" w14:textId="77777777" w:rsidR="00D25856" w:rsidRPr="00394118" w:rsidRDefault="00D25856" w:rsidP="00D25856">
      <w:pPr>
        <w:spacing w:line="480" w:lineRule="auto"/>
        <w:jc w:val="both"/>
        <w:rPr>
          <w:b/>
        </w:rPr>
      </w:pPr>
    </w:p>
    <w:p w14:paraId="0CF4A4D1" w14:textId="77777777" w:rsidR="00D25856" w:rsidRPr="00394118" w:rsidRDefault="00D25856" w:rsidP="00D25856">
      <w:pPr>
        <w:spacing w:line="480" w:lineRule="auto"/>
        <w:jc w:val="both"/>
      </w:pPr>
      <w:r w:rsidRPr="00394118">
        <w:rPr>
          <w:b/>
        </w:rPr>
        <w:t xml:space="preserve">Supplemental Table 1: List of </w:t>
      </w:r>
      <w:proofErr w:type="spellStart"/>
      <w:r w:rsidRPr="00394118">
        <w:rPr>
          <w:b/>
        </w:rPr>
        <w:t>disome</w:t>
      </w:r>
      <w:proofErr w:type="spellEnd"/>
      <w:r w:rsidRPr="00394118">
        <w:rPr>
          <w:b/>
        </w:rPr>
        <w:t xml:space="preserve"> and monosome pauses defined in standard monosome profiling.</w:t>
      </w:r>
    </w:p>
    <w:p w14:paraId="2063AC10" w14:textId="77777777" w:rsidR="00D25856" w:rsidRPr="00394118" w:rsidRDefault="00D25856" w:rsidP="00D25856">
      <w:pPr>
        <w:spacing w:line="480" w:lineRule="auto"/>
        <w:jc w:val="both"/>
      </w:pPr>
      <w:r w:rsidRPr="00394118">
        <w:t xml:space="preserve">Each A-site codon position (note that the first AUG codon was counted as position 0) of the identified ribosome pause site is listed with its b number identifier, gene name, </w:t>
      </w:r>
      <w:proofErr w:type="spellStart"/>
      <w:r w:rsidRPr="00394118">
        <w:t>mosonome</w:t>
      </w:r>
      <w:proofErr w:type="spellEnd"/>
      <w:r w:rsidRPr="00394118">
        <w:t xml:space="preserve"> and </w:t>
      </w:r>
      <w:proofErr w:type="spellStart"/>
      <w:r w:rsidRPr="00394118">
        <w:t>disome</w:t>
      </w:r>
      <w:proofErr w:type="spellEnd"/>
      <w:r w:rsidRPr="00394118">
        <w:t xml:space="preserve"> occupancy scores, and pause type descriptions (whether the site corresponds to </w:t>
      </w:r>
      <w:proofErr w:type="spellStart"/>
      <w:r w:rsidRPr="00394118">
        <w:t>monsome</w:t>
      </w:r>
      <w:proofErr w:type="spellEnd"/>
      <w:r w:rsidRPr="00394118">
        <w:t xml:space="preserve"> pause site or </w:t>
      </w:r>
      <w:proofErr w:type="spellStart"/>
      <w:r w:rsidRPr="00394118">
        <w:t>disome</w:t>
      </w:r>
      <w:proofErr w:type="spellEnd"/>
      <w:r w:rsidRPr="00394118">
        <w:t xml:space="preserve"> pause site).</w:t>
      </w:r>
    </w:p>
    <w:p w14:paraId="2ACC95E4" w14:textId="77777777" w:rsidR="00D25856" w:rsidRPr="00394118" w:rsidRDefault="00D25856" w:rsidP="00D25856">
      <w:pPr>
        <w:spacing w:line="480" w:lineRule="auto"/>
        <w:jc w:val="both"/>
      </w:pPr>
    </w:p>
    <w:p w14:paraId="059F0886" w14:textId="77777777" w:rsidR="00D25856" w:rsidRPr="00394118" w:rsidRDefault="00D25856" w:rsidP="00D25856">
      <w:pPr>
        <w:spacing w:line="480" w:lineRule="auto"/>
        <w:jc w:val="both"/>
      </w:pPr>
    </w:p>
    <w:p w14:paraId="4116B51A" w14:textId="77777777" w:rsidR="00D25856" w:rsidRPr="00394118" w:rsidRDefault="00D25856" w:rsidP="00D25856">
      <w:pPr>
        <w:spacing w:line="480" w:lineRule="auto"/>
        <w:jc w:val="both"/>
      </w:pPr>
      <w:r w:rsidRPr="00394118">
        <w:rPr>
          <w:b/>
        </w:rPr>
        <w:t xml:space="preserve">Supplemental Table 2: List of </w:t>
      </w:r>
      <w:proofErr w:type="spellStart"/>
      <w:r w:rsidRPr="00394118">
        <w:rPr>
          <w:b/>
        </w:rPr>
        <w:t>disome</w:t>
      </w:r>
      <w:proofErr w:type="spellEnd"/>
      <w:r w:rsidRPr="00394118">
        <w:rPr>
          <w:b/>
        </w:rPr>
        <w:t xml:space="preserve"> pauses with systematic </w:t>
      </w:r>
      <w:proofErr w:type="spellStart"/>
      <w:r w:rsidRPr="00394118">
        <w:rPr>
          <w:b/>
        </w:rPr>
        <w:t>iNP</w:t>
      </w:r>
      <w:proofErr w:type="spellEnd"/>
      <w:r w:rsidRPr="00394118">
        <w:rPr>
          <w:b/>
        </w:rPr>
        <w:t xml:space="preserve"> data.</w:t>
      </w:r>
    </w:p>
    <w:p w14:paraId="1F2E77AB" w14:textId="77777777" w:rsidR="00D25856" w:rsidRPr="00394118" w:rsidRDefault="00D25856" w:rsidP="00D25856">
      <w:pPr>
        <w:spacing w:line="480" w:lineRule="auto"/>
        <w:jc w:val="both"/>
        <w:rPr>
          <w:i/>
        </w:rPr>
      </w:pPr>
      <w:r w:rsidRPr="00394118">
        <w:t xml:space="preserve">Each A site codon position (note that the first AUG codon was counted as position 0) of the </w:t>
      </w:r>
      <w:proofErr w:type="spellStart"/>
      <w:r w:rsidRPr="00394118">
        <w:t>disome</w:t>
      </w:r>
      <w:proofErr w:type="spellEnd"/>
      <w:r w:rsidRPr="00394118">
        <w:t xml:space="preserve"> pause sites is listed with its b number identifier, gene name, </w:t>
      </w:r>
      <w:proofErr w:type="spellStart"/>
      <w:r w:rsidRPr="00394118">
        <w:t>polypeptidyl</w:t>
      </w:r>
      <w:proofErr w:type="spellEnd"/>
      <w:r w:rsidRPr="00394118">
        <w:t xml:space="preserve">-tRNA molecular weight predicted </w:t>
      </w:r>
      <w:proofErr w:type="spellStart"/>
      <w:r w:rsidRPr="00394118">
        <w:t>disome</w:t>
      </w:r>
      <w:proofErr w:type="spellEnd"/>
      <w:r w:rsidRPr="00394118">
        <w:t xml:space="preserve"> pause sites, </w:t>
      </w:r>
      <w:proofErr w:type="spellStart"/>
      <w:r w:rsidRPr="00394118">
        <w:t>polypeptidyl</w:t>
      </w:r>
      <w:proofErr w:type="spellEnd"/>
      <w:r w:rsidRPr="00394118">
        <w:t xml:space="preserve">-tRNA molecular weight estimated by </w:t>
      </w:r>
      <w:r w:rsidRPr="00394118">
        <w:rPr>
          <w:i/>
        </w:rPr>
        <w:t>in vitro</w:t>
      </w:r>
      <w:r w:rsidRPr="00394118">
        <w:t xml:space="preserve"> and </w:t>
      </w:r>
      <w:r w:rsidRPr="00394118">
        <w:rPr>
          <w:i/>
        </w:rPr>
        <w:t>in vivo</w:t>
      </w:r>
      <w:r w:rsidRPr="00394118">
        <w:t xml:space="preserve"> </w:t>
      </w:r>
      <w:proofErr w:type="spellStart"/>
      <w:r w:rsidRPr="00394118">
        <w:t>iNP</w:t>
      </w:r>
      <w:proofErr w:type="spellEnd"/>
      <w:r w:rsidRPr="00394118">
        <w:rPr>
          <w:i/>
        </w:rPr>
        <w:t xml:space="preserve"> </w:t>
      </w:r>
      <w:hyperlink r:id="rId11">
        <w:r w:rsidRPr="00394118">
          <w:rPr>
            <w:i/>
            <w:color w:val="000000"/>
          </w:rPr>
          <w:t>(</w:t>
        </w:r>
        <w:proofErr w:type="spellStart"/>
        <w:r w:rsidRPr="00394118">
          <w:rPr>
            <w:i/>
            <w:color w:val="000000"/>
          </w:rPr>
          <w:t>Chadani</w:t>
        </w:r>
        <w:proofErr w:type="spellEnd"/>
        <w:r w:rsidRPr="00394118">
          <w:rPr>
            <w:i/>
            <w:color w:val="000000"/>
          </w:rPr>
          <w:t xml:space="preserve"> et al. 2016)</w:t>
        </w:r>
      </w:hyperlink>
      <w:r w:rsidRPr="00394118">
        <w:t xml:space="preserve">, and puromycin resistance in the </w:t>
      </w:r>
      <w:r w:rsidRPr="00394118">
        <w:rPr>
          <w:i/>
        </w:rPr>
        <w:t>in vitro</w:t>
      </w:r>
      <w:r w:rsidRPr="00394118">
        <w:t xml:space="preserve"> </w:t>
      </w:r>
      <w:proofErr w:type="spellStart"/>
      <w:r w:rsidRPr="00394118">
        <w:t>iNP</w:t>
      </w:r>
      <w:proofErr w:type="spellEnd"/>
      <w:r w:rsidRPr="00394118">
        <w:t>.</w:t>
      </w:r>
    </w:p>
    <w:p w14:paraId="54B1B110" w14:textId="77777777" w:rsidR="00D25856" w:rsidRPr="00394118" w:rsidRDefault="00D25856" w:rsidP="00D25856">
      <w:pPr>
        <w:spacing w:line="480" w:lineRule="auto"/>
        <w:jc w:val="both"/>
        <w:rPr>
          <w:i/>
        </w:rPr>
      </w:pPr>
    </w:p>
    <w:p w14:paraId="3FE299C4" w14:textId="77777777" w:rsidR="00D25856" w:rsidRPr="00394118" w:rsidRDefault="00D25856" w:rsidP="00D25856">
      <w:pPr>
        <w:spacing w:line="480" w:lineRule="auto"/>
        <w:jc w:val="both"/>
        <w:rPr>
          <w:i/>
        </w:rPr>
      </w:pPr>
    </w:p>
    <w:p w14:paraId="7331BDB4" w14:textId="77777777" w:rsidR="00D25856" w:rsidRPr="00394118" w:rsidRDefault="00D25856" w:rsidP="00D25856">
      <w:pPr>
        <w:spacing w:line="480" w:lineRule="auto"/>
        <w:jc w:val="both"/>
      </w:pPr>
      <w:bookmarkStart w:id="0" w:name="_2xcytpi" w:colFirst="0" w:colLast="0"/>
      <w:bookmarkEnd w:id="0"/>
      <w:r w:rsidRPr="00394118">
        <w:rPr>
          <w:b/>
        </w:rPr>
        <w:t xml:space="preserve">Supplemental Table 3: List of monosome pauses with systematic </w:t>
      </w:r>
      <w:proofErr w:type="spellStart"/>
      <w:r w:rsidRPr="00394118">
        <w:rPr>
          <w:b/>
        </w:rPr>
        <w:t>iNP</w:t>
      </w:r>
      <w:proofErr w:type="spellEnd"/>
      <w:r w:rsidRPr="00394118">
        <w:rPr>
          <w:b/>
        </w:rPr>
        <w:t xml:space="preserve"> data.</w:t>
      </w:r>
    </w:p>
    <w:p w14:paraId="5647A9DC" w14:textId="77777777" w:rsidR="00D25856" w:rsidRPr="00394118" w:rsidRDefault="00D25856" w:rsidP="00D25856">
      <w:pPr>
        <w:spacing w:line="480" w:lineRule="auto"/>
        <w:jc w:val="both"/>
      </w:pPr>
      <w:r w:rsidRPr="00394118">
        <w:t xml:space="preserve">Each A site codon position (note that the first AUG codon was counted as position 0) of the </w:t>
      </w:r>
      <w:proofErr w:type="spellStart"/>
      <w:r w:rsidRPr="00394118">
        <w:t>monoome</w:t>
      </w:r>
      <w:proofErr w:type="spellEnd"/>
      <w:r w:rsidRPr="00394118">
        <w:t xml:space="preserve"> pause sites is listed with its b number identifier, gene name, </w:t>
      </w:r>
      <w:proofErr w:type="spellStart"/>
      <w:r w:rsidRPr="00394118">
        <w:t>polypeptidyl</w:t>
      </w:r>
      <w:proofErr w:type="spellEnd"/>
      <w:r w:rsidRPr="00394118">
        <w:t xml:space="preserve">-tRNA </w:t>
      </w:r>
      <w:r w:rsidRPr="00394118">
        <w:lastRenderedPageBreak/>
        <w:t xml:space="preserve">molecular weight predicted monosome pause sites, </w:t>
      </w:r>
      <w:proofErr w:type="spellStart"/>
      <w:r w:rsidRPr="00394118">
        <w:t>polypeptidyl</w:t>
      </w:r>
      <w:proofErr w:type="spellEnd"/>
      <w:r w:rsidRPr="00394118">
        <w:t xml:space="preserve">-tRNA molecular weight estimated by </w:t>
      </w:r>
      <w:r w:rsidRPr="00394118">
        <w:rPr>
          <w:i/>
        </w:rPr>
        <w:t>in vitro</w:t>
      </w:r>
      <w:r w:rsidRPr="00394118">
        <w:t xml:space="preserve"> and </w:t>
      </w:r>
      <w:r w:rsidRPr="00394118">
        <w:rPr>
          <w:i/>
        </w:rPr>
        <w:t>in vivo</w:t>
      </w:r>
      <w:r w:rsidRPr="00394118">
        <w:t xml:space="preserve"> </w:t>
      </w:r>
      <w:proofErr w:type="spellStart"/>
      <w:r w:rsidRPr="00394118">
        <w:t>iNP</w:t>
      </w:r>
      <w:proofErr w:type="spellEnd"/>
      <w:r w:rsidRPr="00394118">
        <w:rPr>
          <w:i/>
        </w:rPr>
        <w:t xml:space="preserve"> </w:t>
      </w:r>
      <w:hyperlink r:id="rId12">
        <w:r w:rsidRPr="00394118">
          <w:rPr>
            <w:i/>
            <w:color w:val="000000"/>
          </w:rPr>
          <w:t>(</w:t>
        </w:r>
        <w:proofErr w:type="spellStart"/>
        <w:r w:rsidRPr="00394118">
          <w:rPr>
            <w:i/>
            <w:color w:val="000000"/>
          </w:rPr>
          <w:t>Chadani</w:t>
        </w:r>
        <w:proofErr w:type="spellEnd"/>
        <w:r w:rsidRPr="00394118">
          <w:rPr>
            <w:i/>
            <w:color w:val="000000"/>
          </w:rPr>
          <w:t xml:space="preserve"> et al. 2016)</w:t>
        </w:r>
      </w:hyperlink>
      <w:r w:rsidRPr="00394118">
        <w:t xml:space="preserve">, and puromycin resistance in the </w:t>
      </w:r>
      <w:r w:rsidRPr="00394118">
        <w:rPr>
          <w:i/>
        </w:rPr>
        <w:t>in vitro</w:t>
      </w:r>
      <w:r w:rsidRPr="00394118">
        <w:t xml:space="preserve"> </w:t>
      </w:r>
      <w:proofErr w:type="spellStart"/>
      <w:r w:rsidRPr="00394118">
        <w:t>iNP</w:t>
      </w:r>
      <w:proofErr w:type="spellEnd"/>
      <w:r w:rsidRPr="00394118">
        <w:t>.</w:t>
      </w:r>
    </w:p>
    <w:p w14:paraId="164C4659" w14:textId="77777777" w:rsidR="00D25856" w:rsidRPr="00394118" w:rsidRDefault="00D25856" w:rsidP="00D25856">
      <w:pPr>
        <w:spacing w:line="480" w:lineRule="auto"/>
        <w:jc w:val="both"/>
      </w:pPr>
    </w:p>
    <w:p w14:paraId="07338D9E" w14:textId="77777777" w:rsidR="00D25856" w:rsidRPr="00394118" w:rsidRDefault="00D25856" w:rsidP="00D25856">
      <w:pPr>
        <w:spacing w:line="480" w:lineRule="auto"/>
        <w:jc w:val="both"/>
      </w:pPr>
    </w:p>
    <w:p w14:paraId="5FCC8C3C" w14:textId="77777777" w:rsidR="00D25856" w:rsidRPr="00394118" w:rsidRDefault="00D25856" w:rsidP="00D25856">
      <w:pPr>
        <w:spacing w:line="480" w:lineRule="auto"/>
        <w:jc w:val="both"/>
      </w:pPr>
      <w:r w:rsidRPr="00394118">
        <w:rPr>
          <w:b/>
        </w:rPr>
        <w:t>Supplemental Table 4: Cryo-EM data collection, model building, refinement, and validation statistics.</w:t>
      </w:r>
    </w:p>
    <w:tbl>
      <w:tblPr>
        <w:tblW w:w="8493" w:type="dxa"/>
        <w:tblBorders>
          <w:top w:val="single" w:sz="12" w:space="0" w:color="008000"/>
          <w:left w:val="single" w:sz="4" w:space="0" w:color="000000"/>
          <w:bottom w:val="single" w:sz="12" w:space="0" w:color="008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6"/>
        <w:gridCol w:w="5947"/>
      </w:tblGrid>
      <w:tr w:rsidR="00D25856" w:rsidRPr="00394118" w14:paraId="4C535868" w14:textId="77777777" w:rsidTr="000D5F2E">
        <w:trPr>
          <w:trHeight w:val="1172"/>
        </w:trPr>
        <w:tc>
          <w:tcPr>
            <w:tcW w:w="2546" w:type="dxa"/>
            <w:tcBorders>
              <w:top w:val="single" w:sz="8" w:space="0" w:color="000000"/>
              <w:bottom w:val="single" w:sz="4" w:space="0" w:color="000000"/>
              <w:right w:val="dotted" w:sz="4" w:space="0" w:color="000000"/>
            </w:tcBorders>
          </w:tcPr>
          <w:p w14:paraId="452CCF96" w14:textId="77777777" w:rsidR="00D25856" w:rsidRPr="00394118" w:rsidRDefault="00D25856" w:rsidP="000D5F2E">
            <w:pPr>
              <w:spacing w:line="480" w:lineRule="auto"/>
              <w:jc w:val="both"/>
            </w:pPr>
          </w:p>
        </w:tc>
        <w:tc>
          <w:tcPr>
            <w:tcW w:w="5947" w:type="dxa"/>
            <w:tcBorders>
              <w:top w:val="single" w:sz="8" w:space="0" w:color="000000"/>
              <w:left w:val="dotted" w:sz="4" w:space="0" w:color="000000"/>
              <w:bottom w:val="single" w:sz="4" w:space="0" w:color="000000"/>
              <w:right w:val="dotted" w:sz="4" w:space="0" w:color="000000"/>
            </w:tcBorders>
            <w:vAlign w:val="center"/>
          </w:tcPr>
          <w:p w14:paraId="632475A5" w14:textId="77777777" w:rsidR="00D25856" w:rsidRPr="00394118" w:rsidRDefault="00D25856" w:rsidP="000D5F2E">
            <w:pPr>
              <w:spacing w:line="480" w:lineRule="auto"/>
              <w:jc w:val="both"/>
            </w:pPr>
            <w:proofErr w:type="spellStart"/>
            <w:r w:rsidRPr="00394118">
              <w:rPr>
                <w:i/>
              </w:rPr>
              <w:t>ycbZ</w:t>
            </w:r>
            <w:proofErr w:type="spellEnd"/>
            <w:r w:rsidRPr="00394118">
              <w:t>-stalled ribosome</w:t>
            </w:r>
          </w:p>
          <w:p w14:paraId="08C23813" w14:textId="77777777" w:rsidR="00D25856" w:rsidRPr="00394118" w:rsidRDefault="00D25856" w:rsidP="000D5F2E">
            <w:r w:rsidRPr="00394118">
              <w:t>(EMDB-30431)</w:t>
            </w:r>
          </w:p>
          <w:p w14:paraId="1DEDF16B" w14:textId="77777777" w:rsidR="00D25856" w:rsidRPr="00394118" w:rsidRDefault="00D25856" w:rsidP="000D5F2E">
            <w:pPr>
              <w:spacing w:line="480" w:lineRule="auto"/>
              <w:jc w:val="both"/>
            </w:pPr>
            <w:r w:rsidRPr="00394118">
              <w:t>(PDB 7CPJ)</w:t>
            </w:r>
          </w:p>
        </w:tc>
      </w:tr>
      <w:tr w:rsidR="00D25856" w:rsidRPr="00394118" w14:paraId="1C612B19" w14:textId="77777777" w:rsidTr="000D5F2E">
        <w:tc>
          <w:tcPr>
            <w:tcW w:w="2546" w:type="dxa"/>
            <w:tcBorders>
              <w:top w:val="single" w:sz="4" w:space="0" w:color="000000"/>
              <w:right w:val="dotted" w:sz="4" w:space="0" w:color="000000"/>
            </w:tcBorders>
          </w:tcPr>
          <w:p w14:paraId="34737303" w14:textId="77777777" w:rsidR="00D25856" w:rsidRPr="00394118" w:rsidRDefault="00D25856" w:rsidP="000D5F2E">
            <w:pPr>
              <w:spacing w:line="480" w:lineRule="auto"/>
              <w:jc w:val="both"/>
              <w:rPr>
                <w:b/>
              </w:rPr>
            </w:pPr>
            <w:r w:rsidRPr="00394118">
              <w:rPr>
                <w:b/>
              </w:rPr>
              <w:t>Data collection and processing</w:t>
            </w:r>
          </w:p>
        </w:tc>
        <w:tc>
          <w:tcPr>
            <w:tcW w:w="5947" w:type="dxa"/>
            <w:tcBorders>
              <w:top w:val="single" w:sz="4" w:space="0" w:color="000000"/>
              <w:left w:val="dotted" w:sz="4" w:space="0" w:color="000000"/>
              <w:right w:val="dotted" w:sz="4" w:space="0" w:color="000000"/>
            </w:tcBorders>
          </w:tcPr>
          <w:p w14:paraId="4C0FFCC7" w14:textId="77777777" w:rsidR="00D25856" w:rsidRPr="00394118" w:rsidRDefault="00D25856" w:rsidP="000D5F2E">
            <w:pPr>
              <w:spacing w:line="480" w:lineRule="auto"/>
              <w:jc w:val="both"/>
            </w:pPr>
          </w:p>
        </w:tc>
      </w:tr>
      <w:tr w:rsidR="00D25856" w:rsidRPr="00394118" w14:paraId="761560FB" w14:textId="77777777" w:rsidTr="000D5F2E">
        <w:tc>
          <w:tcPr>
            <w:tcW w:w="2546" w:type="dxa"/>
            <w:tcBorders>
              <w:right w:val="dotted" w:sz="4" w:space="0" w:color="000000"/>
            </w:tcBorders>
          </w:tcPr>
          <w:p w14:paraId="56BF1886" w14:textId="77777777" w:rsidR="00D25856" w:rsidRPr="00394118" w:rsidRDefault="00D25856" w:rsidP="000D5F2E">
            <w:pPr>
              <w:spacing w:line="480" w:lineRule="auto"/>
              <w:jc w:val="both"/>
            </w:pPr>
            <w:r w:rsidRPr="00394118">
              <w:t>Magnification</w:t>
            </w:r>
          </w:p>
        </w:tc>
        <w:tc>
          <w:tcPr>
            <w:tcW w:w="5947" w:type="dxa"/>
            <w:tcBorders>
              <w:left w:val="dotted" w:sz="4" w:space="0" w:color="000000"/>
              <w:right w:val="dotted" w:sz="4" w:space="0" w:color="000000"/>
            </w:tcBorders>
          </w:tcPr>
          <w:p w14:paraId="7C1CC097" w14:textId="77777777" w:rsidR="00D25856" w:rsidRPr="00394118" w:rsidRDefault="00D25856" w:rsidP="000D5F2E">
            <w:pPr>
              <w:spacing w:line="480" w:lineRule="auto"/>
              <w:jc w:val="both"/>
            </w:pPr>
            <w:r w:rsidRPr="00394118">
              <w:t>23,500</w:t>
            </w:r>
          </w:p>
        </w:tc>
      </w:tr>
      <w:tr w:rsidR="00D25856" w:rsidRPr="00394118" w14:paraId="650C3C57" w14:textId="77777777" w:rsidTr="000D5F2E">
        <w:trPr>
          <w:trHeight w:val="22"/>
        </w:trPr>
        <w:tc>
          <w:tcPr>
            <w:tcW w:w="2546" w:type="dxa"/>
            <w:tcBorders>
              <w:right w:val="dotted" w:sz="4" w:space="0" w:color="000000"/>
            </w:tcBorders>
          </w:tcPr>
          <w:p w14:paraId="2D366E67" w14:textId="77777777" w:rsidR="00D25856" w:rsidRPr="00394118" w:rsidRDefault="00D25856" w:rsidP="000D5F2E">
            <w:pPr>
              <w:spacing w:line="480" w:lineRule="auto"/>
              <w:jc w:val="both"/>
            </w:pPr>
            <w:r w:rsidRPr="00394118">
              <w:t>Voltage (kV)</w:t>
            </w:r>
          </w:p>
        </w:tc>
        <w:tc>
          <w:tcPr>
            <w:tcW w:w="5947" w:type="dxa"/>
            <w:tcBorders>
              <w:left w:val="dotted" w:sz="4" w:space="0" w:color="000000"/>
              <w:right w:val="dotted" w:sz="4" w:space="0" w:color="000000"/>
            </w:tcBorders>
          </w:tcPr>
          <w:p w14:paraId="1C362A94" w14:textId="77777777" w:rsidR="00D25856" w:rsidRPr="00394118" w:rsidRDefault="00D25856" w:rsidP="000D5F2E">
            <w:pPr>
              <w:spacing w:line="480" w:lineRule="auto"/>
              <w:jc w:val="both"/>
            </w:pPr>
            <w:r w:rsidRPr="00394118">
              <w:t>200</w:t>
            </w:r>
          </w:p>
        </w:tc>
      </w:tr>
      <w:tr w:rsidR="00D25856" w:rsidRPr="00394118" w14:paraId="0FE94FBE" w14:textId="77777777" w:rsidTr="000D5F2E">
        <w:trPr>
          <w:trHeight w:val="405"/>
        </w:trPr>
        <w:tc>
          <w:tcPr>
            <w:tcW w:w="2546" w:type="dxa"/>
            <w:tcBorders>
              <w:right w:val="dotted" w:sz="4" w:space="0" w:color="000000"/>
            </w:tcBorders>
          </w:tcPr>
          <w:p w14:paraId="2173C7E0" w14:textId="77777777" w:rsidR="00D25856" w:rsidRPr="00394118" w:rsidRDefault="00D25856" w:rsidP="000D5F2E">
            <w:pPr>
              <w:spacing w:line="480" w:lineRule="auto"/>
              <w:jc w:val="both"/>
            </w:pPr>
            <w:r w:rsidRPr="00394118">
              <w:t>Electron exposure (e</w:t>
            </w:r>
            <w:r w:rsidRPr="00394118">
              <w:rPr>
                <w:vertAlign w:val="superscript"/>
              </w:rPr>
              <w:t>–</w:t>
            </w:r>
            <w:r w:rsidRPr="00394118">
              <w:t>/Å</w:t>
            </w:r>
            <w:r w:rsidRPr="00394118">
              <w:rPr>
                <w:vertAlign w:val="superscript"/>
              </w:rPr>
              <w:t>2</w:t>
            </w:r>
            <w:r w:rsidRPr="00394118">
              <w:t>)</w:t>
            </w:r>
          </w:p>
        </w:tc>
        <w:tc>
          <w:tcPr>
            <w:tcW w:w="5947" w:type="dxa"/>
            <w:tcBorders>
              <w:left w:val="dotted" w:sz="4" w:space="0" w:color="000000"/>
              <w:right w:val="dotted" w:sz="4" w:space="0" w:color="000000"/>
            </w:tcBorders>
          </w:tcPr>
          <w:p w14:paraId="71C78FEC" w14:textId="77777777" w:rsidR="00D25856" w:rsidRPr="00394118" w:rsidRDefault="00D25856" w:rsidP="000D5F2E">
            <w:pPr>
              <w:spacing w:line="480" w:lineRule="auto"/>
              <w:jc w:val="both"/>
            </w:pPr>
            <w:r w:rsidRPr="00394118">
              <w:t>50</w:t>
            </w:r>
          </w:p>
        </w:tc>
      </w:tr>
      <w:tr w:rsidR="00D25856" w:rsidRPr="00394118" w14:paraId="1C48B6F0" w14:textId="77777777" w:rsidTr="000D5F2E">
        <w:trPr>
          <w:trHeight w:val="22"/>
        </w:trPr>
        <w:tc>
          <w:tcPr>
            <w:tcW w:w="2546" w:type="dxa"/>
            <w:tcBorders>
              <w:right w:val="dotted" w:sz="4" w:space="0" w:color="000000"/>
            </w:tcBorders>
          </w:tcPr>
          <w:p w14:paraId="04A4DB02" w14:textId="77777777" w:rsidR="00D25856" w:rsidRPr="00394118" w:rsidRDefault="00D25856" w:rsidP="000D5F2E">
            <w:pPr>
              <w:spacing w:line="480" w:lineRule="auto"/>
              <w:jc w:val="both"/>
            </w:pPr>
            <w:r w:rsidRPr="00394118">
              <w:t>Defocus range (</w:t>
            </w:r>
            <w:proofErr w:type="spellStart"/>
            <w:r w:rsidRPr="00394118">
              <w:t>μm</w:t>
            </w:r>
            <w:proofErr w:type="spellEnd"/>
            <w:r w:rsidRPr="00394118">
              <w:t>)</w:t>
            </w:r>
          </w:p>
        </w:tc>
        <w:tc>
          <w:tcPr>
            <w:tcW w:w="5947" w:type="dxa"/>
            <w:tcBorders>
              <w:left w:val="dotted" w:sz="4" w:space="0" w:color="000000"/>
              <w:right w:val="dotted" w:sz="4" w:space="0" w:color="000000"/>
            </w:tcBorders>
          </w:tcPr>
          <w:p w14:paraId="43728AEE" w14:textId="77777777" w:rsidR="00D25856" w:rsidRPr="00394118" w:rsidRDefault="00D25856" w:rsidP="000D5F2E">
            <w:pPr>
              <w:spacing w:line="480" w:lineRule="auto"/>
              <w:jc w:val="both"/>
            </w:pPr>
            <w:r w:rsidRPr="00394118">
              <w:t>1.0-3.0</w:t>
            </w:r>
          </w:p>
        </w:tc>
      </w:tr>
      <w:tr w:rsidR="00D25856" w:rsidRPr="00394118" w14:paraId="2F29301F" w14:textId="77777777" w:rsidTr="000D5F2E">
        <w:trPr>
          <w:trHeight w:val="22"/>
        </w:trPr>
        <w:tc>
          <w:tcPr>
            <w:tcW w:w="2546" w:type="dxa"/>
            <w:tcBorders>
              <w:right w:val="dotted" w:sz="4" w:space="0" w:color="000000"/>
            </w:tcBorders>
          </w:tcPr>
          <w:p w14:paraId="2C9ECCF0" w14:textId="77777777" w:rsidR="00D25856" w:rsidRPr="00394118" w:rsidRDefault="00D25856" w:rsidP="000D5F2E">
            <w:pPr>
              <w:spacing w:line="480" w:lineRule="auto"/>
              <w:jc w:val="both"/>
            </w:pPr>
            <w:r w:rsidRPr="00394118">
              <w:t>Pixel size (Å)</w:t>
            </w:r>
          </w:p>
        </w:tc>
        <w:tc>
          <w:tcPr>
            <w:tcW w:w="5947" w:type="dxa"/>
            <w:tcBorders>
              <w:left w:val="dotted" w:sz="4" w:space="0" w:color="000000"/>
              <w:right w:val="dotted" w:sz="4" w:space="0" w:color="000000"/>
            </w:tcBorders>
          </w:tcPr>
          <w:p w14:paraId="6328CC0E" w14:textId="77777777" w:rsidR="00D25856" w:rsidRPr="00394118" w:rsidRDefault="00D25856" w:rsidP="000D5F2E">
            <w:pPr>
              <w:spacing w:line="480" w:lineRule="auto"/>
              <w:jc w:val="both"/>
            </w:pPr>
            <w:r w:rsidRPr="00394118">
              <w:t>1.47</w:t>
            </w:r>
          </w:p>
        </w:tc>
      </w:tr>
      <w:tr w:rsidR="00D25856" w:rsidRPr="00394118" w14:paraId="7409780D" w14:textId="77777777" w:rsidTr="000D5F2E">
        <w:trPr>
          <w:trHeight w:val="22"/>
        </w:trPr>
        <w:tc>
          <w:tcPr>
            <w:tcW w:w="2546" w:type="dxa"/>
            <w:tcBorders>
              <w:right w:val="dotted" w:sz="4" w:space="0" w:color="000000"/>
            </w:tcBorders>
          </w:tcPr>
          <w:p w14:paraId="5A27D27A" w14:textId="77777777" w:rsidR="00D25856" w:rsidRPr="00394118" w:rsidRDefault="00D25856" w:rsidP="000D5F2E">
            <w:pPr>
              <w:spacing w:line="480" w:lineRule="auto"/>
              <w:jc w:val="both"/>
            </w:pPr>
            <w:r w:rsidRPr="00394118">
              <w:t>Symmetry</w:t>
            </w:r>
          </w:p>
        </w:tc>
        <w:tc>
          <w:tcPr>
            <w:tcW w:w="5947" w:type="dxa"/>
            <w:tcBorders>
              <w:left w:val="dotted" w:sz="4" w:space="0" w:color="000000"/>
              <w:bottom w:val="nil"/>
              <w:right w:val="dotted" w:sz="4" w:space="0" w:color="000000"/>
            </w:tcBorders>
          </w:tcPr>
          <w:p w14:paraId="44C27B85" w14:textId="77777777" w:rsidR="00D25856" w:rsidRPr="00394118" w:rsidRDefault="00D25856" w:rsidP="000D5F2E">
            <w:pPr>
              <w:spacing w:line="480" w:lineRule="auto"/>
              <w:jc w:val="both"/>
            </w:pPr>
            <w:r w:rsidRPr="00394118">
              <w:rPr>
                <w:i/>
              </w:rPr>
              <w:t>C</w:t>
            </w:r>
            <w:r w:rsidRPr="00394118">
              <w:rPr>
                <w:vertAlign w:val="subscript"/>
              </w:rPr>
              <w:t>1</w:t>
            </w:r>
          </w:p>
        </w:tc>
      </w:tr>
      <w:tr w:rsidR="00D25856" w:rsidRPr="00394118" w14:paraId="3D05518E" w14:textId="77777777" w:rsidTr="000D5F2E">
        <w:trPr>
          <w:trHeight w:val="22"/>
        </w:trPr>
        <w:tc>
          <w:tcPr>
            <w:tcW w:w="2546" w:type="dxa"/>
            <w:tcBorders>
              <w:top w:val="nil"/>
              <w:left w:val="nil"/>
              <w:bottom w:val="nil"/>
              <w:right w:val="dotted" w:sz="4" w:space="0" w:color="000000"/>
            </w:tcBorders>
          </w:tcPr>
          <w:p w14:paraId="2A4F89A7" w14:textId="77777777" w:rsidR="00D25856" w:rsidRPr="00394118" w:rsidRDefault="00D25856" w:rsidP="000D5F2E">
            <w:pPr>
              <w:spacing w:line="480" w:lineRule="auto"/>
              <w:jc w:val="both"/>
            </w:pPr>
            <w:r w:rsidRPr="00394118">
              <w:t>Initial particle images (no.)</w:t>
            </w:r>
          </w:p>
        </w:tc>
        <w:tc>
          <w:tcPr>
            <w:tcW w:w="5947" w:type="dxa"/>
            <w:tcBorders>
              <w:top w:val="nil"/>
              <w:left w:val="dotted" w:sz="4" w:space="0" w:color="000000"/>
              <w:bottom w:val="nil"/>
              <w:right w:val="dotted" w:sz="4" w:space="0" w:color="000000"/>
            </w:tcBorders>
          </w:tcPr>
          <w:p w14:paraId="48609A1E" w14:textId="77777777" w:rsidR="00D25856" w:rsidRPr="00394118" w:rsidRDefault="00D25856" w:rsidP="000D5F2E">
            <w:pPr>
              <w:spacing w:line="480" w:lineRule="auto"/>
              <w:jc w:val="both"/>
            </w:pPr>
            <w:r w:rsidRPr="00394118">
              <w:t>77,002</w:t>
            </w:r>
          </w:p>
        </w:tc>
      </w:tr>
      <w:tr w:rsidR="00D25856" w:rsidRPr="00394118" w14:paraId="4B92DBBE" w14:textId="77777777" w:rsidTr="000D5F2E">
        <w:trPr>
          <w:trHeight w:val="251"/>
        </w:trPr>
        <w:tc>
          <w:tcPr>
            <w:tcW w:w="2546" w:type="dxa"/>
            <w:tcBorders>
              <w:top w:val="nil"/>
              <w:right w:val="dotted" w:sz="4" w:space="0" w:color="000000"/>
            </w:tcBorders>
          </w:tcPr>
          <w:p w14:paraId="10169A91" w14:textId="77777777" w:rsidR="00D25856" w:rsidRPr="00394118" w:rsidRDefault="00D25856" w:rsidP="000D5F2E">
            <w:pPr>
              <w:spacing w:line="480" w:lineRule="auto"/>
              <w:jc w:val="both"/>
            </w:pPr>
            <w:r w:rsidRPr="00394118">
              <w:t>Final particle images (no.)</w:t>
            </w:r>
          </w:p>
        </w:tc>
        <w:tc>
          <w:tcPr>
            <w:tcW w:w="5947" w:type="dxa"/>
            <w:tcBorders>
              <w:top w:val="nil"/>
              <w:left w:val="dotted" w:sz="4" w:space="0" w:color="000000"/>
              <w:right w:val="dotted" w:sz="4" w:space="0" w:color="000000"/>
            </w:tcBorders>
          </w:tcPr>
          <w:p w14:paraId="4E346851" w14:textId="77777777" w:rsidR="00D25856" w:rsidRPr="00394118" w:rsidRDefault="00D25856" w:rsidP="000D5F2E">
            <w:pPr>
              <w:spacing w:line="480" w:lineRule="auto"/>
              <w:jc w:val="both"/>
            </w:pPr>
            <w:r w:rsidRPr="00394118">
              <w:t>40,231</w:t>
            </w:r>
          </w:p>
        </w:tc>
      </w:tr>
      <w:tr w:rsidR="00D25856" w:rsidRPr="00394118" w14:paraId="4D28ECE4" w14:textId="77777777" w:rsidTr="000D5F2E">
        <w:trPr>
          <w:trHeight w:val="22"/>
        </w:trPr>
        <w:tc>
          <w:tcPr>
            <w:tcW w:w="2546" w:type="dxa"/>
            <w:tcBorders>
              <w:right w:val="dotted" w:sz="4" w:space="0" w:color="000000"/>
            </w:tcBorders>
          </w:tcPr>
          <w:p w14:paraId="5C04EC93" w14:textId="77777777" w:rsidR="00D25856" w:rsidRPr="00394118" w:rsidRDefault="00D25856" w:rsidP="000D5F2E">
            <w:pPr>
              <w:spacing w:line="480" w:lineRule="auto"/>
              <w:jc w:val="both"/>
            </w:pPr>
            <w:r w:rsidRPr="00394118">
              <w:lastRenderedPageBreak/>
              <w:t>Map resolution (Å)</w:t>
            </w:r>
          </w:p>
          <w:p w14:paraId="43F4BA77" w14:textId="77777777" w:rsidR="00D25856" w:rsidRPr="00394118" w:rsidRDefault="00D25856" w:rsidP="000D5F2E">
            <w:pPr>
              <w:spacing w:line="480" w:lineRule="auto"/>
              <w:jc w:val="both"/>
            </w:pPr>
            <w:r w:rsidRPr="00394118">
              <w:t xml:space="preserve">    FSC threshold</w:t>
            </w:r>
          </w:p>
        </w:tc>
        <w:tc>
          <w:tcPr>
            <w:tcW w:w="5947" w:type="dxa"/>
            <w:tcBorders>
              <w:left w:val="dotted" w:sz="4" w:space="0" w:color="000000"/>
              <w:right w:val="dotted" w:sz="4" w:space="0" w:color="000000"/>
            </w:tcBorders>
          </w:tcPr>
          <w:p w14:paraId="1EA232C3" w14:textId="77777777" w:rsidR="00D25856" w:rsidRPr="00394118" w:rsidRDefault="00D25856" w:rsidP="000D5F2E">
            <w:pPr>
              <w:spacing w:line="480" w:lineRule="auto"/>
              <w:jc w:val="both"/>
            </w:pPr>
            <w:r w:rsidRPr="00394118">
              <w:t>3.3</w:t>
            </w:r>
          </w:p>
          <w:p w14:paraId="4F8219E9" w14:textId="77777777" w:rsidR="00D25856" w:rsidRPr="00394118" w:rsidRDefault="00D25856" w:rsidP="000D5F2E">
            <w:pPr>
              <w:spacing w:line="480" w:lineRule="auto"/>
              <w:jc w:val="both"/>
            </w:pPr>
            <w:r w:rsidRPr="00394118">
              <w:t>0.143</w:t>
            </w:r>
          </w:p>
        </w:tc>
      </w:tr>
      <w:tr w:rsidR="00D25856" w:rsidRPr="00394118" w14:paraId="294B7F8A" w14:textId="77777777" w:rsidTr="000D5F2E">
        <w:trPr>
          <w:trHeight w:val="22"/>
        </w:trPr>
        <w:tc>
          <w:tcPr>
            <w:tcW w:w="2546" w:type="dxa"/>
            <w:tcBorders>
              <w:right w:val="dotted" w:sz="4" w:space="0" w:color="000000"/>
            </w:tcBorders>
          </w:tcPr>
          <w:p w14:paraId="3614BA39" w14:textId="77777777" w:rsidR="00D25856" w:rsidRPr="00394118" w:rsidRDefault="00D25856" w:rsidP="000D5F2E">
            <w:pPr>
              <w:spacing w:line="480" w:lineRule="auto"/>
              <w:jc w:val="both"/>
            </w:pPr>
            <w:r w:rsidRPr="00394118">
              <w:t xml:space="preserve">Map sharpening </w:t>
            </w:r>
            <w:r w:rsidRPr="00394118">
              <w:rPr>
                <w:i/>
              </w:rPr>
              <w:t>B</w:t>
            </w:r>
            <w:r w:rsidRPr="00394118">
              <w:t xml:space="preserve"> factor (Å</w:t>
            </w:r>
            <w:r w:rsidRPr="00394118">
              <w:rPr>
                <w:vertAlign w:val="superscript"/>
              </w:rPr>
              <w:t>2</w:t>
            </w:r>
            <w:r w:rsidRPr="00394118">
              <w:t>)</w:t>
            </w:r>
          </w:p>
        </w:tc>
        <w:tc>
          <w:tcPr>
            <w:tcW w:w="5947" w:type="dxa"/>
            <w:tcBorders>
              <w:left w:val="dotted" w:sz="4" w:space="0" w:color="000000"/>
              <w:right w:val="dotted" w:sz="4" w:space="0" w:color="000000"/>
            </w:tcBorders>
          </w:tcPr>
          <w:p w14:paraId="5438FCEA" w14:textId="77777777" w:rsidR="00D25856" w:rsidRPr="00394118" w:rsidRDefault="00D25856" w:rsidP="000D5F2E">
            <w:pPr>
              <w:spacing w:line="480" w:lineRule="auto"/>
              <w:jc w:val="both"/>
            </w:pPr>
            <w:r w:rsidRPr="00394118">
              <w:t>-64.57</w:t>
            </w:r>
          </w:p>
        </w:tc>
      </w:tr>
      <w:tr w:rsidR="00D25856" w:rsidRPr="00394118" w14:paraId="38EF6D5C" w14:textId="77777777" w:rsidTr="000D5F2E">
        <w:trPr>
          <w:trHeight w:val="22"/>
        </w:trPr>
        <w:tc>
          <w:tcPr>
            <w:tcW w:w="2546" w:type="dxa"/>
            <w:tcBorders>
              <w:right w:val="dotted" w:sz="4" w:space="0" w:color="000000"/>
            </w:tcBorders>
          </w:tcPr>
          <w:p w14:paraId="5068A580" w14:textId="77777777" w:rsidR="00D25856" w:rsidRPr="00394118" w:rsidRDefault="00D25856" w:rsidP="000D5F2E">
            <w:pPr>
              <w:spacing w:line="480" w:lineRule="auto"/>
              <w:jc w:val="both"/>
            </w:pPr>
          </w:p>
        </w:tc>
        <w:tc>
          <w:tcPr>
            <w:tcW w:w="5947" w:type="dxa"/>
            <w:tcBorders>
              <w:left w:val="dotted" w:sz="4" w:space="0" w:color="000000"/>
              <w:right w:val="dotted" w:sz="4" w:space="0" w:color="000000"/>
            </w:tcBorders>
          </w:tcPr>
          <w:p w14:paraId="59A20D92" w14:textId="77777777" w:rsidR="00D25856" w:rsidRPr="00394118" w:rsidRDefault="00D25856" w:rsidP="000D5F2E">
            <w:pPr>
              <w:spacing w:line="480" w:lineRule="auto"/>
              <w:jc w:val="both"/>
            </w:pPr>
          </w:p>
        </w:tc>
      </w:tr>
      <w:tr w:rsidR="00D25856" w:rsidRPr="00394118" w14:paraId="74E6055A" w14:textId="77777777" w:rsidTr="000D5F2E">
        <w:tc>
          <w:tcPr>
            <w:tcW w:w="2546" w:type="dxa"/>
            <w:tcBorders>
              <w:right w:val="dotted" w:sz="4" w:space="0" w:color="000000"/>
            </w:tcBorders>
          </w:tcPr>
          <w:p w14:paraId="54433BA9" w14:textId="77777777" w:rsidR="00D25856" w:rsidRPr="00394118" w:rsidRDefault="00D25856" w:rsidP="000D5F2E">
            <w:pPr>
              <w:spacing w:line="480" w:lineRule="auto"/>
              <w:jc w:val="both"/>
              <w:rPr>
                <w:b/>
              </w:rPr>
            </w:pPr>
            <w:r w:rsidRPr="00394118">
              <w:rPr>
                <w:b/>
              </w:rPr>
              <w:t>Refinement</w:t>
            </w:r>
          </w:p>
        </w:tc>
        <w:tc>
          <w:tcPr>
            <w:tcW w:w="5947" w:type="dxa"/>
            <w:tcBorders>
              <w:left w:val="dotted" w:sz="4" w:space="0" w:color="000000"/>
              <w:right w:val="dotted" w:sz="4" w:space="0" w:color="000000"/>
            </w:tcBorders>
          </w:tcPr>
          <w:p w14:paraId="3254A90C" w14:textId="77777777" w:rsidR="00D25856" w:rsidRPr="00394118" w:rsidRDefault="00D25856" w:rsidP="000D5F2E">
            <w:pPr>
              <w:spacing w:line="480" w:lineRule="auto"/>
              <w:jc w:val="both"/>
            </w:pPr>
          </w:p>
        </w:tc>
      </w:tr>
      <w:tr w:rsidR="00D25856" w:rsidRPr="00394118" w14:paraId="2F347EBD" w14:textId="77777777" w:rsidTr="000D5F2E">
        <w:tc>
          <w:tcPr>
            <w:tcW w:w="2546" w:type="dxa"/>
            <w:tcBorders>
              <w:right w:val="dotted" w:sz="4" w:space="0" w:color="000000"/>
            </w:tcBorders>
          </w:tcPr>
          <w:p w14:paraId="37683F4A" w14:textId="77777777" w:rsidR="00D25856" w:rsidRPr="00394118" w:rsidRDefault="00D25856" w:rsidP="000D5F2E">
            <w:pPr>
              <w:spacing w:line="480" w:lineRule="auto"/>
              <w:jc w:val="both"/>
            </w:pPr>
            <w:r w:rsidRPr="00394118">
              <w:t>Model composition</w:t>
            </w:r>
          </w:p>
          <w:p w14:paraId="3550BB72" w14:textId="77777777" w:rsidR="00D25856" w:rsidRPr="00394118" w:rsidRDefault="00D25856" w:rsidP="000D5F2E">
            <w:pPr>
              <w:spacing w:line="480" w:lineRule="auto"/>
              <w:jc w:val="both"/>
            </w:pPr>
            <w:r w:rsidRPr="00394118">
              <w:t xml:space="preserve">    Nonhydrogen atoms</w:t>
            </w:r>
          </w:p>
          <w:p w14:paraId="7533DBC7" w14:textId="77777777" w:rsidR="00D25856" w:rsidRPr="00394118" w:rsidRDefault="00D25856" w:rsidP="000D5F2E">
            <w:pPr>
              <w:spacing w:line="480" w:lineRule="auto"/>
              <w:jc w:val="both"/>
            </w:pPr>
            <w:r w:rsidRPr="00394118">
              <w:t xml:space="preserve">    Protein residues</w:t>
            </w:r>
          </w:p>
          <w:p w14:paraId="6183598D" w14:textId="77777777" w:rsidR="00D25856" w:rsidRPr="00394118" w:rsidRDefault="00D25856" w:rsidP="000D5F2E">
            <w:pPr>
              <w:spacing w:line="480" w:lineRule="auto"/>
              <w:jc w:val="both"/>
            </w:pPr>
            <w:r w:rsidRPr="00394118">
              <w:t xml:space="preserve">    RNA residues</w:t>
            </w:r>
          </w:p>
        </w:tc>
        <w:tc>
          <w:tcPr>
            <w:tcW w:w="5947" w:type="dxa"/>
            <w:tcBorders>
              <w:left w:val="dotted" w:sz="4" w:space="0" w:color="000000"/>
              <w:right w:val="dotted" w:sz="4" w:space="0" w:color="000000"/>
            </w:tcBorders>
          </w:tcPr>
          <w:p w14:paraId="070F6499" w14:textId="77777777" w:rsidR="00D25856" w:rsidRPr="00394118" w:rsidRDefault="00D25856" w:rsidP="000D5F2E">
            <w:pPr>
              <w:spacing w:line="480" w:lineRule="auto"/>
              <w:jc w:val="both"/>
            </w:pPr>
          </w:p>
          <w:p w14:paraId="7492E40C" w14:textId="77777777" w:rsidR="00D25856" w:rsidRPr="00394118" w:rsidRDefault="00D25856" w:rsidP="000D5F2E">
            <w:pPr>
              <w:spacing w:line="480" w:lineRule="auto"/>
              <w:jc w:val="both"/>
            </w:pPr>
            <w:r w:rsidRPr="00394118">
              <w:t>145,941</w:t>
            </w:r>
          </w:p>
          <w:p w14:paraId="42438F7A" w14:textId="77777777" w:rsidR="00D25856" w:rsidRPr="00394118" w:rsidRDefault="00D25856" w:rsidP="000D5F2E">
            <w:pPr>
              <w:spacing w:line="480" w:lineRule="auto"/>
              <w:jc w:val="both"/>
            </w:pPr>
            <w:r w:rsidRPr="00394118">
              <w:t>5,951</w:t>
            </w:r>
          </w:p>
          <w:p w14:paraId="34E4238C" w14:textId="77777777" w:rsidR="00D25856" w:rsidRPr="00394118" w:rsidRDefault="00D25856" w:rsidP="000D5F2E">
            <w:pPr>
              <w:spacing w:line="480" w:lineRule="auto"/>
              <w:jc w:val="both"/>
            </w:pPr>
            <w:r w:rsidRPr="00394118">
              <w:t>4,639</w:t>
            </w:r>
          </w:p>
        </w:tc>
      </w:tr>
      <w:tr w:rsidR="00D25856" w:rsidRPr="00394118" w14:paraId="3B46E444" w14:textId="77777777" w:rsidTr="000D5F2E">
        <w:tc>
          <w:tcPr>
            <w:tcW w:w="2546" w:type="dxa"/>
            <w:tcBorders>
              <w:right w:val="dotted" w:sz="4" w:space="0" w:color="000000"/>
            </w:tcBorders>
          </w:tcPr>
          <w:p w14:paraId="0BEEDA13" w14:textId="77777777" w:rsidR="00D25856" w:rsidRPr="00394118" w:rsidRDefault="00D25856" w:rsidP="000D5F2E">
            <w:pPr>
              <w:spacing w:line="480" w:lineRule="auto"/>
              <w:jc w:val="both"/>
            </w:pPr>
            <w:bookmarkStart w:id="1" w:name="_1ci93xb" w:colFirst="0" w:colLast="0"/>
            <w:bookmarkEnd w:id="1"/>
            <w:proofErr w:type="spellStart"/>
            <w:r w:rsidRPr="00394118">
              <w:t>R.m.s.</w:t>
            </w:r>
            <w:proofErr w:type="spellEnd"/>
            <w:r w:rsidRPr="00394118">
              <w:t xml:space="preserve"> deviations</w:t>
            </w:r>
          </w:p>
          <w:p w14:paraId="6530D455" w14:textId="77777777" w:rsidR="00D25856" w:rsidRPr="00394118" w:rsidRDefault="00D25856" w:rsidP="000D5F2E">
            <w:pPr>
              <w:spacing w:line="480" w:lineRule="auto"/>
              <w:jc w:val="both"/>
            </w:pPr>
            <w:r w:rsidRPr="00394118">
              <w:t xml:space="preserve">    Bond lengths (Å)</w:t>
            </w:r>
          </w:p>
          <w:p w14:paraId="1D4E9B05" w14:textId="77777777" w:rsidR="00D25856" w:rsidRPr="00394118" w:rsidRDefault="00D25856" w:rsidP="000D5F2E">
            <w:pPr>
              <w:spacing w:line="480" w:lineRule="auto"/>
              <w:jc w:val="both"/>
            </w:pPr>
            <w:r w:rsidRPr="00394118">
              <w:t xml:space="preserve">    Bond angles (°)</w:t>
            </w:r>
          </w:p>
        </w:tc>
        <w:tc>
          <w:tcPr>
            <w:tcW w:w="5947" w:type="dxa"/>
            <w:tcBorders>
              <w:left w:val="dotted" w:sz="4" w:space="0" w:color="000000"/>
              <w:right w:val="dotted" w:sz="4" w:space="0" w:color="000000"/>
            </w:tcBorders>
          </w:tcPr>
          <w:p w14:paraId="6B9DD5FF" w14:textId="77777777" w:rsidR="00D25856" w:rsidRPr="00394118" w:rsidRDefault="00D25856" w:rsidP="000D5F2E">
            <w:pPr>
              <w:spacing w:line="480" w:lineRule="auto"/>
              <w:jc w:val="both"/>
            </w:pPr>
          </w:p>
          <w:p w14:paraId="212786E8" w14:textId="77777777" w:rsidR="00D25856" w:rsidRPr="00394118" w:rsidRDefault="00D25856" w:rsidP="000D5F2E">
            <w:pPr>
              <w:spacing w:line="480" w:lineRule="auto"/>
              <w:jc w:val="both"/>
            </w:pPr>
            <w:r w:rsidRPr="00394118">
              <w:t>0.010</w:t>
            </w:r>
          </w:p>
          <w:p w14:paraId="046F4215" w14:textId="77777777" w:rsidR="00D25856" w:rsidRPr="00394118" w:rsidRDefault="00D25856" w:rsidP="000D5F2E">
            <w:pPr>
              <w:spacing w:line="480" w:lineRule="auto"/>
              <w:jc w:val="both"/>
            </w:pPr>
            <w:r w:rsidRPr="00394118">
              <w:t>0.884</w:t>
            </w:r>
          </w:p>
        </w:tc>
      </w:tr>
      <w:tr w:rsidR="00D25856" w:rsidRPr="00394118" w14:paraId="4A8FE7D0" w14:textId="77777777" w:rsidTr="000D5F2E">
        <w:tc>
          <w:tcPr>
            <w:tcW w:w="2546" w:type="dxa"/>
            <w:tcBorders>
              <w:right w:val="dotted" w:sz="4" w:space="0" w:color="000000"/>
            </w:tcBorders>
          </w:tcPr>
          <w:p w14:paraId="29AFC6DE" w14:textId="77777777" w:rsidR="00D25856" w:rsidRPr="00394118" w:rsidRDefault="00D25856" w:rsidP="000D5F2E">
            <w:pPr>
              <w:spacing w:line="480" w:lineRule="auto"/>
              <w:jc w:val="both"/>
            </w:pPr>
            <w:r w:rsidRPr="00394118">
              <w:t xml:space="preserve"> Validation</w:t>
            </w:r>
          </w:p>
          <w:p w14:paraId="576CF509" w14:textId="77777777" w:rsidR="00D25856" w:rsidRPr="00394118" w:rsidRDefault="00D25856" w:rsidP="000D5F2E">
            <w:pPr>
              <w:spacing w:line="480" w:lineRule="auto"/>
              <w:jc w:val="both"/>
            </w:pPr>
            <w:r w:rsidRPr="00394118">
              <w:t xml:space="preserve">    </w:t>
            </w:r>
            <w:proofErr w:type="spellStart"/>
            <w:r w:rsidRPr="00394118">
              <w:t>MolProbity</w:t>
            </w:r>
            <w:proofErr w:type="spellEnd"/>
            <w:r w:rsidRPr="00394118">
              <w:t xml:space="preserve"> score</w:t>
            </w:r>
          </w:p>
          <w:p w14:paraId="0A013191" w14:textId="77777777" w:rsidR="00D25856" w:rsidRPr="00394118" w:rsidRDefault="00D25856" w:rsidP="000D5F2E">
            <w:pPr>
              <w:spacing w:line="480" w:lineRule="auto"/>
              <w:jc w:val="both"/>
            </w:pPr>
            <w:r w:rsidRPr="00394118">
              <w:t xml:space="preserve">    </w:t>
            </w:r>
            <w:proofErr w:type="spellStart"/>
            <w:r w:rsidRPr="00394118">
              <w:t>Clashscore</w:t>
            </w:r>
            <w:proofErr w:type="spellEnd"/>
          </w:p>
          <w:p w14:paraId="6AD72C3D" w14:textId="77777777" w:rsidR="00D25856" w:rsidRPr="00394118" w:rsidRDefault="00D25856" w:rsidP="000D5F2E">
            <w:pPr>
              <w:spacing w:line="480" w:lineRule="auto"/>
              <w:jc w:val="both"/>
            </w:pPr>
            <w:r w:rsidRPr="00394118">
              <w:t xml:space="preserve">    Poor rotamers (%)</w:t>
            </w:r>
          </w:p>
          <w:p w14:paraId="5BC91293" w14:textId="77777777" w:rsidR="00D25856" w:rsidRPr="00394118" w:rsidRDefault="00D25856" w:rsidP="000D5F2E">
            <w:pPr>
              <w:spacing w:line="480" w:lineRule="auto"/>
              <w:jc w:val="both"/>
            </w:pPr>
            <w:r w:rsidRPr="00394118">
              <w:t>RNA pucker outliers (%)</w:t>
            </w:r>
          </w:p>
        </w:tc>
        <w:tc>
          <w:tcPr>
            <w:tcW w:w="5947" w:type="dxa"/>
            <w:tcBorders>
              <w:left w:val="dotted" w:sz="4" w:space="0" w:color="000000"/>
              <w:right w:val="dotted" w:sz="4" w:space="0" w:color="000000"/>
            </w:tcBorders>
          </w:tcPr>
          <w:p w14:paraId="4BDA7954" w14:textId="77777777" w:rsidR="00D25856" w:rsidRPr="00394118" w:rsidRDefault="00D25856" w:rsidP="000D5F2E">
            <w:pPr>
              <w:spacing w:line="480" w:lineRule="auto"/>
              <w:jc w:val="both"/>
            </w:pPr>
          </w:p>
          <w:p w14:paraId="176D62E3" w14:textId="77777777" w:rsidR="00D25856" w:rsidRPr="00394118" w:rsidRDefault="00D25856" w:rsidP="000D5F2E">
            <w:pPr>
              <w:spacing w:line="480" w:lineRule="auto"/>
              <w:jc w:val="both"/>
            </w:pPr>
            <w:r w:rsidRPr="00394118">
              <w:t>2.26</w:t>
            </w:r>
          </w:p>
          <w:p w14:paraId="5A7749FF" w14:textId="77777777" w:rsidR="00D25856" w:rsidRPr="00394118" w:rsidRDefault="00D25856" w:rsidP="000D5F2E">
            <w:pPr>
              <w:spacing w:line="480" w:lineRule="auto"/>
              <w:jc w:val="both"/>
            </w:pPr>
            <w:r w:rsidRPr="00394118">
              <w:t>12.63</w:t>
            </w:r>
          </w:p>
          <w:p w14:paraId="2D5EA9EF" w14:textId="77777777" w:rsidR="00D25856" w:rsidRPr="00394118" w:rsidRDefault="00D25856" w:rsidP="000D5F2E">
            <w:pPr>
              <w:spacing w:line="480" w:lineRule="auto"/>
              <w:jc w:val="both"/>
            </w:pPr>
            <w:r w:rsidRPr="00394118">
              <w:t>0.29</w:t>
            </w:r>
          </w:p>
          <w:p w14:paraId="23A9F7B0" w14:textId="77777777" w:rsidR="00D25856" w:rsidRPr="00394118" w:rsidRDefault="00D25856" w:rsidP="000D5F2E">
            <w:pPr>
              <w:spacing w:line="480" w:lineRule="auto"/>
              <w:jc w:val="both"/>
            </w:pPr>
            <w:r w:rsidRPr="00394118">
              <w:t>0</w:t>
            </w:r>
          </w:p>
        </w:tc>
      </w:tr>
      <w:tr w:rsidR="00D25856" w:rsidRPr="00394118" w14:paraId="3D05B38B" w14:textId="77777777" w:rsidTr="000D5F2E">
        <w:tc>
          <w:tcPr>
            <w:tcW w:w="2546" w:type="dxa"/>
            <w:tcBorders>
              <w:bottom w:val="single" w:sz="8" w:space="0" w:color="000000"/>
              <w:right w:val="dotted" w:sz="4" w:space="0" w:color="000000"/>
            </w:tcBorders>
          </w:tcPr>
          <w:p w14:paraId="0DBCFE57" w14:textId="77777777" w:rsidR="00D25856" w:rsidRPr="00394118" w:rsidRDefault="00D25856" w:rsidP="000D5F2E">
            <w:pPr>
              <w:spacing w:line="480" w:lineRule="auto"/>
              <w:jc w:val="both"/>
            </w:pPr>
            <w:r w:rsidRPr="00394118">
              <w:t xml:space="preserve"> Ramachandran plot</w:t>
            </w:r>
          </w:p>
          <w:p w14:paraId="26761909" w14:textId="77777777" w:rsidR="00D25856" w:rsidRPr="00394118" w:rsidRDefault="00D25856" w:rsidP="000D5F2E">
            <w:pPr>
              <w:spacing w:line="480" w:lineRule="auto"/>
              <w:jc w:val="both"/>
            </w:pPr>
            <w:r w:rsidRPr="00394118">
              <w:t xml:space="preserve">    Favored (%)</w:t>
            </w:r>
          </w:p>
          <w:p w14:paraId="1BAB4869" w14:textId="77777777" w:rsidR="00D25856" w:rsidRPr="00394118" w:rsidRDefault="00D25856" w:rsidP="000D5F2E">
            <w:pPr>
              <w:spacing w:line="480" w:lineRule="auto"/>
              <w:jc w:val="both"/>
            </w:pPr>
            <w:r w:rsidRPr="00394118">
              <w:t xml:space="preserve">    Allowed (%)</w:t>
            </w:r>
          </w:p>
          <w:p w14:paraId="1505AB54" w14:textId="77777777" w:rsidR="00D25856" w:rsidRPr="00394118" w:rsidRDefault="00D25856" w:rsidP="000D5F2E">
            <w:pPr>
              <w:spacing w:line="480" w:lineRule="auto"/>
              <w:jc w:val="both"/>
            </w:pPr>
            <w:r w:rsidRPr="00394118">
              <w:t xml:space="preserve">    Disallowed (%)</w:t>
            </w:r>
          </w:p>
        </w:tc>
        <w:tc>
          <w:tcPr>
            <w:tcW w:w="5947" w:type="dxa"/>
            <w:tcBorders>
              <w:left w:val="dotted" w:sz="4" w:space="0" w:color="000000"/>
              <w:bottom w:val="single" w:sz="8" w:space="0" w:color="000000"/>
              <w:right w:val="dotted" w:sz="4" w:space="0" w:color="000000"/>
            </w:tcBorders>
          </w:tcPr>
          <w:p w14:paraId="158A7E6C" w14:textId="77777777" w:rsidR="00D25856" w:rsidRPr="00394118" w:rsidRDefault="00D25856" w:rsidP="000D5F2E">
            <w:pPr>
              <w:spacing w:line="480" w:lineRule="auto"/>
              <w:jc w:val="both"/>
            </w:pPr>
          </w:p>
          <w:p w14:paraId="7D20C4F4" w14:textId="77777777" w:rsidR="00D25856" w:rsidRPr="00394118" w:rsidRDefault="00D25856" w:rsidP="000D5F2E">
            <w:pPr>
              <w:spacing w:line="480" w:lineRule="auto"/>
              <w:jc w:val="both"/>
            </w:pPr>
            <w:r w:rsidRPr="00394118">
              <w:t>85.70</w:t>
            </w:r>
          </w:p>
          <w:p w14:paraId="6D30CF08" w14:textId="77777777" w:rsidR="00D25856" w:rsidRPr="00394118" w:rsidRDefault="00D25856" w:rsidP="000D5F2E">
            <w:pPr>
              <w:spacing w:line="480" w:lineRule="auto"/>
              <w:jc w:val="both"/>
            </w:pPr>
            <w:r w:rsidRPr="00394118">
              <w:t>13.82</w:t>
            </w:r>
          </w:p>
          <w:p w14:paraId="048352A2" w14:textId="77777777" w:rsidR="00D25856" w:rsidRPr="00394118" w:rsidRDefault="00D25856" w:rsidP="000D5F2E">
            <w:pPr>
              <w:spacing w:line="480" w:lineRule="auto"/>
              <w:jc w:val="both"/>
            </w:pPr>
            <w:r w:rsidRPr="00394118">
              <w:t>0.48</w:t>
            </w:r>
          </w:p>
        </w:tc>
      </w:tr>
    </w:tbl>
    <w:p w14:paraId="1EC5B929" w14:textId="77777777" w:rsidR="00D25856" w:rsidRPr="00394118" w:rsidRDefault="00D25856" w:rsidP="00D25856">
      <w:pPr>
        <w:spacing w:line="480" w:lineRule="auto"/>
        <w:jc w:val="both"/>
      </w:pPr>
    </w:p>
    <w:p w14:paraId="225D0F52" w14:textId="77777777" w:rsidR="00D25856" w:rsidRPr="00394118" w:rsidRDefault="00D25856" w:rsidP="00D25856">
      <w:pPr>
        <w:spacing w:line="480" w:lineRule="auto"/>
        <w:jc w:val="both"/>
      </w:pPr>
    </w:p>
    <w:p w14:paraId="672183D2" w14:textId="77777777" w:rsidR="00D25856" w:rsidRPr="00394118" w:rsidRDefault="00D25856" w:rsidP="00D25856">
      <w:pPr>
        <w:spacing w:line="480" w:lineRule="auto"/>
        <w:jc w:val="both"/>
      </w:pPr>
      <w:r w:rsidRPr="00394118">
        <w:rPr>
          <w:b/>
        </w:rPr>
        <w:t>Supplemental Table 5: A list of plasmids used in this study.</w:t>
      </w:r>
    </w:p>
    <w:tbl>
      <w:tblPr>
        <w:tblW w:w="8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6"/>
        <w:gridCol w:w="2410"/>
      </w:tblGrid>
      <w:tr w:rsidR="00D25856" w:rsidRPr="00394118" w14:paraId="0E6351DB" w14:textId="77777777" w:rsidTr="000D5F2E">
        <w:trPr>
          <w:jc w:val="center"/>
        </w:trPr>
        <w:tc>
          <w:tcPr>
            <w:tcW w:w="6266" w:type="dxa"/>
            <w:vAlign w:val="center"/>
          </w:tcPr>
          <w:p w14:paraId="0BCAF0A0" w14:textId="77777777" w:rsidR="00D25856" w:rsidRPr="00394118" w:rsidRDefault="00D25856" w:rsidP="000D5F2E">
            <w:pPr>
              <w:spacing w:line="480" w:lineRule="auto"/>
              <w:jc w:val="both"/>
              <w:rPr>
                <w:color w:val="000000"/>
              </w:rPr>
            </w:pPr>
            <w:r w:rsidRPr="00394118">
              <w:rPr>
                <w:color w:val="000000"/>
              </w:rPr>
              <w:t>Plasmid</w:t>
            </w:r>
          </w:p>
        </w:tc>
        <w:tc>
          <w:tcPr>
            <w:tcW w:w="2410" w:type="dxa"/>
            <w:vAlign w:val="center"/>
          </w:tcPr>
          <w:p w14:paraId="037DDBBB" w14:textId="77777777" w:rsidR="00D25856" w:rsidRPr="00394118" w:rsidRDefault="00D25856" w:rsidP="000D5F2E">
            <w:pPr>
              <w:spacing w:line="480" w:lineRule="auto"/>
              <w:jc w:val="both"/>
              <w:rPr>
                <w:color w:val="000000"/>
              </w:rPr>
            </w:pPr>
            <w:r w:rsidRPr="00394118">
              <w:rPr>
                <w:color w:val="000000"/>
              </w:rPr>
              <w:t>Reference</w:t>
            </w:r>
          </w:p>
        </w:tc>
      </w:tr>
      <w:tr w:rsidR="00D25856" w:rsidRPr="00394118" w14:paraId="68CA2733" w14:textId="77777777" w:rsidTr="000D5F2E">
        <w:trPr>
          <w:jc w:val="center"/>
        </w:trPr>
        <w:tc>
          <w:tcPr>
            <w:tcW w:w="6266" w:type="dxa"/>
            <w:vAlign w:val="center"/>
          </w:tcPr>
          <w:p w14:paraId="1347E586" w14:textId="77777777" w:rsidR="00D25856" w:rsidRPr="00394118" w:rsidRDefault="00D25856" w:rsidP="000D5F2E">
            <w:pPr>
              <w:spacing w:line="480" w:lineRule="auto"/>
              <w:jc w:val="both"/>
              <w:rPr>
                <w:i/>
                <w:color w:val="000000"/>
              </w:rPr>
            </w:pPr>
            <w:r w:rsidRPr="00394118">
              <w:rPr>
                <w:i/>
              </w:rPr>
              <w:t>pCA24N-ycbZ</w:t>
            </w:r>
          </w:p>
        </w:tc>
        <w:tc>
          <w:tcPr>
            <w:tcW w:w="2410" w:type="dxa"/>
            <w:vAlign w:val="center"/>
          </w:tcPr>
          <w:p w14:paraId="483D0A8A"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1D1DFDF7" w14:textId="77777777" w:rsidTr="000D5F2E">
        <w:trPr>
          <w:jc w:val="center"/>
        </w:trPr>
        <w:tc>
          <w:tcPr>
            <w:tcW w:w="6266" w:type="dxa"/>
            <w:vAlign w:val="center"/>
          </w:tcPr>
          <w:p w14:paraId="2E4EABEA" w14:textId="77777777" w:rsidR="00D25856" w:rsidRPr="00394118" w:rsidRDefault="00D25856" w:rsidP="000D5F2E">
            <w:pPr>
              <w:spacing w:line="480" w:lineRule="auto"/>
              <w:jc w:val="both"/>
              <w:rPr>
                <w:i/>
                <w:color w:val="000000"/>
              </w:rPr>
            </w:pPr>
            <w:r w:rsidRPr="00394118">
              <w:rPr>
                <w:i/>
              </w:rPr>
              <w:t>pCA24N-secM</w:t>
            </w:r>
          </w:p>
        </w:tc>
        <w:tc>
          <w:tcPr>
            <w:tcW w:w="2410" w:type="dxa"/>
            <w:vAlign w:val="center"/>
          </w:tcPr>
          <w:p w14:paraId="1B26086D" w14:textId="77777777" w:rsidR="00D25856" w:rsidRPr="00394118" w:rsidRDefault="00D25856" w:rsidP="000D5F2E">
            <w:pPr>
              <w:spacing w:line="480" w:lineRule="auto"/>
              <w:jc w:val="both"/>
              <w:rPr>
                <w:color w:val="000000"/>
              </w:rPr>
            </w:pPr>
            <w:r w:rsidRPr="00394118">
              <w:rPr>
                <w:color w:val="000000"/>
              </w:rPr>
              <w:t xml:space="preserve">Kitagawa </w:t>
            </w:r>
            <w:r w:rsidRPr="00394118">
              <w:rPr>
                <w:i/>
                <w:color w:val="000000"/>
              </w:rPr>
              <w:t>et al</w:t>
            </w:r>
            <w:r w:rsidRPr="00394118">
              <w:rPr>
                <w:color w:val="000000"/>
              </w:rPr>
              <w:t>., 2005</w:t>
            </w:r>
          </w:p>
        </w:tc>
      </w:tr>
      <w:tr w:rsidR="00D25856" w:rsidRPr="00394118" w14:paraId="1A08ABDA" w14:textId="77777777" w:rsidTr="000D5F2E">
        <w:trPr>
          <w:jc w:val="center"/>
        </w:trPr>
        <w:tc>
          <w:tcPr>
            <w:tcW w:w="6266" w:type="dxa"/>
            <w:vAlign w:val="center"/>
          </w:tcPr>
          <w:p w14:paraId="22A4A155" w14:textId="77777777" w:rsidR="00D25856" w:rsidRPr="00394118" w:rsidRDefault="00D25856" w:rsidP="000D5F2E">
            <w:pPr>
              <w:spacing w:line="480" w:lineRule="auto"/>
              <w:jc w:val="both"/>
              <w:rPr>
                <w:i/>
                <w:color w:val="000000"/>
              </w:rPr>
            </w:pPr>
            <w:r w:rsidRPr="00394118">
              <w:rPr>
                <w:i/>
              </w:rPr>
              <w:t>pCA24N-ycbZ motif (WT)</w:t>
            </w:r>
          </w:p>
        </w:tc>
        <w:tc>
          <w:tcPr>
            <w:tcW w:w="2410" w:type="dxa"/>
            <w:vAlign w:val="center"/>
          </w:tcPr>
          <w:p w14:paraId="20CE00FD"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6C6F1DAA" w14:textId="77777777" w:rsidTr="000D5F2E">
        <w:trPr>
          <w:jc w:val="center"/>
        </w:trPr>
        <w:tc>
          <w:tcPr>
            <w:tcW w:w="6266" w:type="dxa"/>
            <w:vAlign w:val="center"/>
          </w:tcPr>
          <w:p w14:paraId="59B577AD" w14:textId="77777777" w:rsidR="00D25856" w:rsidRPr="00394118" w:rsidRDefault="00D25856" w:rsidP="000D5F2E">
            <w:pPr>
              <w:spacing w:line="480" w:lineRule="auto"/>
              <w:jc w:val="both"/>
              <w:rPr>
                <w:i/>
                <w:color w:val="000000"/>
              </w:rPr>
            </w:pPr>
            <w:r w:rsidRPr="00394118">
              <w:rPr>
                <w:i/>
              </w:rPr>
              <w:t>pCA24N-ycbZ motif (I557A)</w:t>
            </w:r>
          </w:p>
        </w:tc>
        <w:tc>
          <w:tcPr>
            <w:tcW w:w="2410" w:type="dxa"/>
            <w:vAlign w:val="center"/>
          </w:tcPr>
          <w:p w14:paraId="21BD0B81"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299EB4CD" w14:textId="77777777" w:rsidTr="000D5F2E">
        <w:trPr>
          <w:jc w:val="center"/>
        </w:trPr>
        <w:tc>
          <w:tcPr>
            <w:tcW w:w="6266" w:type="dxa"/>
            <w:vAlign w:val="center"/>
          </w:tcPr>
          <w:p w14:paraId="7DD1FFBC" w14:textId="77777777" w:rsidR="00D25856" w:rsidRPr="00394118" w:rsidRDefault="00D25856" w:rsidP="000D5F2E">
            <w:pPr>
              <w:spacing w:line="480" w:lineRule="auto"/>
              <w:jc w:val="both"/>
              <w:rPr>
                <w:i/>
                <w:color w:val="000000"/>
              </w:rPr>
            </w:pPr>
            <w:r w:rsidRPr="00394118">
              <w:rPr>
                <w:i/>
              </w:rPr>
              <w:t>pCA24N-ycbZ motif (E559A)</w:t>
            </w:r>
          </w:p>
        </w:tc>
        <w:tc>
          <w:tcPr>
            <w:tcW w:w="2410" w:type="dxa"/>
            <w:vAlign w:val="center"/>
          </w:tcPr>
          <w:p w14:paraId="7C4CCE99"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548ED7DD" w14:textId="77777777" w:rsidTr="000D5F2E">
        <w:trPr>
          <w:jc w:val="center"/>
        </w:trPr>
        <w:tc>
          <w:tcPr>
            <w:tcW w:w="6266" w:type="dxa"/>
            <w:vAlign w:val="center"/>
          </w:tcPr>
          <w:p w14:paraId="488AE1A2" w14:textId="77777777" w:rsidR="00D25856" w:rsidRPr="00394118" w:rsidRDefault="00D25856" w:rsidP="000D5F2E">
            <w:pPr>
              <w:spacing w:line="480" w:lineRule="auto"/>
              <w:jc w:val="both"/>
              <w:rPr>
                <w:i/>
                <w:color w:val="000000"/>
              </w:rPr>
            </w:pPr>
            <w:r w:rsidRPr="00394118">
              <w:rPr>
                <w:i/>
              </w:rPr>
              <w:t>pCA24N-ycbZ motif (R560A)</w:t>
            </w:r>
          </w:p>
        </w:tc>
        <w:tc>
          <w:tcPr>
            <w:tcW w:w="2410" w:type="dxa"/>
            <w:vAlign w:val="center"/>
          </w:tcPr>
          <w:p w14:paraId="12FED06E"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3F049AE4" w14:textId="77777777" w:rsidTr="000D5F2E">
        <w:trPr>
          <w:jc w:val="center"/>
        </w:trPr>
        <w:tc>
          <w:tcPr>
            <w:tcW w:w="6266" w:type="dxa"/>
            <w:vAlign w:val="center"/>
          </w:tcPr>
          <w:p w14:paraId="06FC1334" w14:textId="77777777" w:rsidR="00D25856" w:rsidRPr="00394118" w:rsidRDefault="00D25856" w:rsidP="000D5F2E">
            <w:pPr>
              <w:spacing w:line="480" w:lineRule="auto"/>
              <w:jc w:val="both"/>
              <w:rPr>
                <w:i/>
                <w:color w:val="000000"/>
              </w:rPr>
            </w:pPr>
            <w:r w:rsidRPr="00394118">
              <w:rPr>
                <w:i/>
              </w:rPr>
              <w:t>pCA24N-ycbZ motif (I561A)</w:t>
            </w:r>
          </w:p>
        </w:tc>
        <w:tc>
          <w:tcPr>
            <w:tcW w:w="2410" w:type="dxa"/>
            <w:vAlign w:val="center"/>
          </w:tcPr>
          <w:p w14:paraId="0F79642C"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5AEB6C89" w14:textId="77777777" w:rsidTr="000D5F2E">
        <w:trPr>
          <w:jc w:val="center"/>
        </w:trPr>
        <w:tc>
          <w:tcPr>
            <w:tcW w:w="6266" w:type="dxa"/>
            <w:vAlign w:val="center"/>
          </w:tcPr>
          <w:p w14:paraId="2EB6EB6E" w14:textId="77777777" w:rsidR="00D25856" w:rsidRPr="00394118" w:rsidRDefault="00D25856" w:rsidP="000D5F2E">
            <w:pPr>
              <w:spacing w:line="480" w:lineRule="auto"/>
              <w:jc w:val="both"/>
              <w:rPr>
                <w:i/>
                <w:color w:val="000000"/>
              </w:rPr>
            </w:pPr>
            <w:r w:rsidRPr="00394118">
              <w:rPr>
                <w:i/>
              </w:rPr>
              <w:t>pCA24N-ycbZ motif (W579A)</w:t>
            </w:r>
          </w:p>
        </w:tc>
        <w:tc>
          <w:tcPr>
            <w:tcW w:w="2410" w:type="dxa"/>
            <w:vAlign w:val="center"/>
          </w:tcPr>
          <w:p w14:paraId="3A72A331"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2132B159" w14:textId="77777777" w:rsidTr="000D5F2E">
        <w:trPr>
          <w:jc w:val="center"/>
        </w:trPr>
        <w:tc>
          <w:tcPr>
            <w:tcW w:w="6266" w:type="dxa"/>
            <w:vAlign w:val="center"/>
          </w:tcPr>
          <w:p w14:paraId="14AFA687" w14:textId="77777777" w:rsidR="00D25856" w:rsidRPr="00394118" w:rsidRDefault="00D25856" w:rsidP="000D5F2E">
            <w:pPr>
              <w:spacing w:line="480" w:lineRule="auto"/>
              <w:jc w:val="both"/>
              <w:rPr>
                <w:i/>
                <w:color w:val="000000"/>
              </w:rPr>
            </w:pPr>
            <w:r w:rsidRPr="00394118">
              <w:rPr>
                <w:i/>
              </w:rPr>
              <w:t>pCA24N-ycbZ motif (L580A)</w:t>
            </w:r>
          </w:p>
        </w:tc>
        <w:tc>
          <w:tcPr>
            <w:tcW w:w="2410" w:type="dxa"/>
            <w:vAlign w:val="center"/>
          </w:tcPr>
          <w:p w14:paraId="31944BF5"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5F40884B" w14:textId="77777777" w:rsidTr="000D5F2E">
        <w:trPr>
          <w:jc w:val="center"/>
        </w:trPr>
        <w:tc>
          <w:tcPr>
            <w:tcW w:w="6266" w:type="dxa"/>
            <w:vAlign w:val="center"/>
          </w:tcPr>
          <w:p w14:paraId="30CA77C7" w14:textId="77777777" w:rsidR="00D25856" w:rsidRPr="00394118" w:rsidRDefault="00D25856" w:rsidP="000D5F2E">
            <w:pPr>
              <w:spacing w:line="480" w:lineRule="auto"/>
              <w:jc w:val="both"/>
              <w:rPr>
                <w:i/>
                <w:color w:val="000000"/>
              </w:rPr>
            </w:pPr>
            <w:r w:rsidRPr="00394118">
              <w:rPr>
                <w:i/>
              </w:rPr>
              <w:t>pCA24N-ycbZ motif (W579A-L580A)</w:t>
            </w:r>
          </w:p>
        </w:tc>
        <w:tc>
          <w:tcPr>
            <w:tcW w:w="2410" w:type="dxa"/>
            <w:vAlign w:val="center"/>
          </w:tcPr>
          <w:p w14:paraId="6261DBF7"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1FE3557A" w14:textId="77777777" w:rsidTr="000D5F2E">
        <w:trPr>
          <w:jc w:val="center"/>
        </w:trPr>
        <w:tc>
          <w:tcPr>
            <w:tcW w:w="6266" w:type="dxa"/>
            <w:vAlign w:val="center"/>
          </w:tcPr>
          <w:p w14:paraId="49B97EDC" w14:textId="77777777" w:rsidR="00D25856" w:rsidRPr="00394118" w:rsidRDefault="00D25856" w:rsidP="000D5F2E">
            <w:pPr>
              <w:spacing w:line="480" w:lineRule="auto"/>
              <w:jc w:val="both"/>
              <w:rPr>
                <w:i/>
                <w:color w:val="000000"/>
              </w:rPr>
            </w:pPr>
            <w:r w:rsidRPr="00394118">
              <w:rPr>
                <w:i/>
              </w:rPr>
              <w:t>pCA24N-ycbZ motif (E559A-R560A-I561A)</w:t>
            </w:r>
          </w:p>
        </w:tc>
        <w:tc>
          <w:tcPr>
            <w:tcW w:w="2410" w:type="dxa"/>
            <w:vAlign w:val="center"/>
          </w:tcPr>
          <w:p w14:paraId="6C44A10D"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51B8CF95" w14:textId="77777777" w:rsidTr="000D5F2E">
        <w:trPr>
          <w:jc w:val="center"/>
        </w:trPr>
        <w:tc>
          <w:tcPr>
            <w:tcW w:w="6266" w:type="dxa"/>
            <w:vAlign w:val="center"/>
          </w:tcPr>
          <w:p w14:paraId="6F52F692" w14:textId="77777777" w:rsidR="00D25856" w:rsidRPr="00394118" w:rsidRDefault="00D25856" w:rsidP="000D5F2E">
            <w:pPr>
              <w:spacing w:line="480" w:lineRule="auto"/>
              <w:jc w:val="both"/>
              <w:rPr>
                <w:i/>
                <w:color w:val="000000"/>
              </w:rPr>
            </w:pPr>
            <w:r w:rsidRPr="00394118">
              <w:rPr>
                <w:i/>
              </w:rPr>
              <w:t>pCA24N-ycbZ motif (I557A-E559A-R560A-I561A-W579A-L580A)</w:t>
            </w:r>
          </w:p>
        </w:tc>
        <w:tc>
          <w:tcPr>
            <w:tcW w:w="2410" w:type="dxa"/>
            <w:vAlign w:val="center"/>
          </w:tcPr>
          <w:p w14:paraId="5CCA234B"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75E2B615" w14:textId="77777777" w:rsidTr="000D5F2E">
        <w:trPr>
          <w:jc w:val="center"/>
        </w:trPr>
        <w:tc>
          <w:tcPr>
            <w:tcW w:w="6266" w:type="dxa"/>
            <w:vAlign w:val="center"/>
          </w:tcPr>
          <w:p w14:paraId="3A007114" w14:textId="77777777" w:rsidR="00D25856" w:rsidRPr="00394118" w:rsidRDefault="00D25856" w:rsidP="000D5F2E">
            <w:pPr>
              <w:spacing w:line="480" w:lineRule="auto"/>
              <w:jc w:val="both"/>
              <w:rPr>
                <w:i/>
                <w:color w:val="000000"/>
              </w:rPr>
            </w:pPr>
            <w:r w:rsidRPr="00394118">
              <w:rPr>
                <w:i/>
              </w:rPr>
              <w:t>pCA24N-ycbZ motif (I584A-P585A-N586A)</w:t>
            </w:r>
          </w:p>
        </w:tc>
        <w:tc>
          <w:tcPr>
            <w:tcW w:w="2410" w:type="dxa"/>
            <w:vAlign w:val="center"/>
          </w:tcPr>
          <w:p w14:paraId="3DFEDFF6"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0560EB5C" w14:textId="77777777" w:rsidTr="000D5F2E">
        <w:trPr>
          <w:jc w:val="center"/>
        </w:trPr>
        <w:tc>
          <w:tcPr>
            <w:tcW w:w="6266" w:type="dxa"/>
            <w:vAlign w:val="center"/>
          </w:tcPr>
          <w:p w14:paraId="15703C0B" w14:textId="77777777" w:rsidR="00D25856" w:rsidRPr="00394118" w:rsidRDefault="00D25856" w:rsidP="000D5F2E">
            <w:pPr>
              <w:spacing w:line="480" w:lineRule="auto"/>
              <w:jc w:val="both"/>
              <w:rPr>
                <w:i/>
                <w:color w:val="000000"/>
              </w:rPr>
            </w:pPr>
            <w:r w:rsidRPr="00394118">
              <w:rPr>
                <w:i/>
              </w:rPr>
              <w:t>pCA24N-ycbZ motif (P585A-N586A)</w:t>
            </w:r>
          </w:p>
        </w:tc>
        <w:tc>
          <w:tcPr>
            <w:tcW w:w="2410" w:type="dxa"/>
            <w:vAlign w:val="center"/>
          </w:tcPr>
          <w:p w14:paraId="0DBC2194"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74F6D64B" w14:textId="77777777" w:rsidTr="000D5F2E">
        <w:trPr>
          <w:jc w:val="center"/>
        </w:trPr>
        <w:tc>
          <w:tcPr>
            <w:tcW w:w="6266" w:type="dxa"/>
            <w:vAlign w:val="center"/>
          </w:tcPr>
          <w:p w14:paraId="7231CB8F" w14:textId="77777777" w:rsidR="00D25856" w:rsidRPr="00394118" w:rsidRDefault="00D25856" w:rsidP="000D5F2E">
            <w:pPr>
              <w:spacing w:line="480" w:lineRule="auto"/>
              <w:jc w:val="both"/>
              <w:rPr>
                <w:i/>
              </w:rPr>
            </w:pPr>
            <w:r w:rsidRPr="00394118">
              <w:rPr>
                <w:i/>
              </w:rPr>
              <w:t>pCA24N-ycbZ motif (P585A)</w:t>
            </w:r>
          </w:p>
        </w:tc>
        <w:tc>
          <w:tcPr>
            <w:tcW w:w="2410" w:type="dxa"/>
            <w:vAlign w:val="center"/>
          </w:tcPr>
          <w:p w14:paraId="7B5B346B" w14:textId="77777777" w:rsidR="00D25856" w:rsidRPr="00394118" w:rsidRDefault="00D25856" w:rsidP="000D5F2E">
            <w:pPr>
              <w:spacing w:line="480" w:lineRule="auto"/>
              <w:jc w:val="both"/>
            </w:pPr>
            <w:r w:rsidRPr="00394118">
              <w:t>This study</w:t>
            </w:r>
          </w:p>
        </w:tc>
      </w:tr>
      <w:tr w:rsidR="00D25856" w:rsidRPr="00394118" w14:paraId="5689C117" w14:textId="77777777" w:rsidTr="000D5F2E">
        <w:trPr>
          <w:jc w:val="center"/>
        </w:trPr>
        <w:tc>
          <w:tcPr>
            <w:tcW w:w="6266" w:type="dxa"/>
            <w:vAlign w:val="center"/>
          </w:tcPr>
          <w:p w14:paraId="3C87EAF7" w14:textId="77777777" w:rsidR="00D25856" w:rsidRPr="00394118" w:rsidRDefault="00D25856" w:rsidP="000D5F2E">
            <w:pPr>
              <w:spacing w:line="480" w:lineRule="auto"/>
              <w:jc w:val="both"/>
              <w:rPr>
                <w:i/>
                <w:color w:val="000000"/>
              </w:rPr>
            </w:pPr>
            <w:r w:rsidRPr="00394118">
              <w:rPr>
                <w:i/>
              </w:rPr>
              <w:t>pCA24N-ycbZ motif (N586A)</w:t>
            </w:r>
          </w:p>
        </w:tc>
        <w:tc>
          <w:tcPr>
            <w:tcW w:w="2410" w:type="dxa"/>
            <w:vAlign w:val="center"/>
          </w:tcPr>
          <w:p w14:paraId="454DD8FA"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2DD18A6C" w14:textId="77777777" w:rsidTr="000D5F2E">
        <w:trPr>
          <w:jc w:val="center"/>
        </w:trPr>
        <w:tc>
          <w:tcPr>
            <w:tcW w:w="6266" w:type="dxa"/>
            <w:vAlign w:val="center"/>
          </w:tcPr>
          <w:p w14:paraId="7DC17A20" w14:textId="77777777" w:rsidR="00D25856" w:rsidRPr="00394118" w:rsidRDefault="00D25856" w:rsidP="000D5F2E">
            <w:pPr>
              <w:spacing w:line="480" w:lineRule="auto"/>
              <w:jc w:val="both"/>
              <w:rPr>
                <w:i/>
              </w:rPr>
            </w:pPr>
            <w:r w:rsidRPr="00394118">
              <w:rPr>
                <w:i/>
              </w:rPr>
              <w:t>pCA24N-SBP</w:t>
            </w:r>
          </w:p>
        </w:tc>
        <w:tc>
          <w:tcPr>
            <w:tcW w:w="2410" w:type="dxa"/>
            <w:vAlign w:val="center"/>
          </w:tcPr>
          <w:p w14:paraId="0277179D" w14:textId="77777777" w:rsidR="00D25856" w:rsidRPr="00394118" w:rsidRDefault="00D25856" w:rsidP="000D5F2E">
            <w:pPr>
              <w:spacing w:line="480" w:lineRule="auto"/>
              <w:jc w:val="both"/>
              <w:rPr>
                <w:color w:val="000000"/>
              </w:rPr>
            </w:pPr>
            <w:r w:rsidRPr="00394118">
              <w:rPr>
                <w:color w:val="000000"/>
              </w:rPr>
              <w:t>This study</w:t>
            </w:r>
          </w:p>
        </w:tc>
      </w:tr>
      <w:tr w:rsidR="00D25856" w:rsidRPr="00394118" w14:paraId="72609972" w14:textId="77777777" w:rsidTr="000D5F2E">
        <w:trPr>
          <w:jc w:val="center"/>
        </w:trPr>
        <w:tc>
          <w:tcPr>
            <w:tcW w:w="6266" w:type="dxa"/>
            <w:vAlign w:val="center"/>
          </w:tcPr>
          <w:p w14:paraId="5AB82767" w14:textId="77777777" w:rsidR="00D25856" w:rsidRPr="00394118" w:rsidRDefault="00D25856" w:rsidP="000D5F2E">
            <w:pPr>
              <w:spacing w:line="480" w:lineRule="auto"/>
              <w:jc w:val="both"/>
              <w:rPr>
                <w:i/>
                <w:color w:val="000000"/>
              </w:rPr>
            </w:pPr>
            <w:r w:rsidRPr="00394118">
              <w:rPr>
                <w:i/>
              </w:rPr>
              <w:t>pCA24N-ycbZ motif-triple stops</w:t>
            </w:r>
          </w:p>
        </w:tc>
        <w:tc>
          <w:tcPr>
            <w:tcW w:w="2410" w:type="dxa"/>
            <w:vAlign w:val="center"/>
          </w:tcPr>
          <w:p w14:paraId="65CC86EA" w14:textId="77777777" w:rsidR="00D25856" w:rsidRPr="00394118" w:rsidRDefault="00D25856" w:rsidP="000D5F2E">
            <w:pPr>
              <w:spacing w:line="480" w:lineRule="auto"/>
              <w:jc w:val="both"/>
              <w:rPr>
                <w:color w:val="000000"/>
              </w:rPr>
            </w:pPr>
            <w:r w:rsidRPr="00394118">
              <w:rPr>
                <w:color w:val="000000"/>
              </w:rPr>
              <w:t>This study</w:t>
            </w:r>
          </w:p>
        </w:tc>
      </w:tr>
    </w:tbl>
    <w:p w14:paraId="7EEB8D77" w14:textId="77777777" w:rsidR="00D25856" w:rsidRPr="00394118" w:rsidRDefault="00D25856" w:rsidP="00D25856">
      <w:pPr>
        <w:spacing w:line="480" w:lineRule="auto"/>
        <w:jc w:val="both"/>
      </w:pPr>
      <w:r w:rsidRPr="00394118">
        <w:lastRenderedPageBreak/>
        <w:br w:type="page"/>
      </w:r>
    </w:p>
    <w:p w14:paraId="1C4B3A43" w14:textId="77777777" w:rsidR="00452451" w:rsidRDefault="00452451"/>
    <w:sectPr w:rsidR="00452451"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56"/>
    <w:rsid w:val="00452451"/>
    <w:rsid w:val="009E1909"/>
    <w:rsid w:val="00D2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38018"/>
  <w15:chartTrackingRefBased/>
  <w15:docId w15:val="{E5AC6604-B304-BB46-B108-D15F021E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856"/>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BaxzXw/R8j5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perpile.com/c/BaxzXw/R8j5T" TargetMode="External"/><Relationship Id="rId12" Type="http://schemas.openxmlformats.org/officeDocument/2006/relationships/hyperlink" Target="https://paperpile.com/c/BaxzXw/R8j5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pile.com/c/BaxzXw/fwSxk" TargetMode="External"/><Relationship Id="rId11" Type="http://schemas.openxmlformats.org/officeDocument/2006/relationships/hyperlink" Target="https://paperpile.com/c/BaxzXw/R8j5T" TargetMode="External"/><Relationship Id="rId5" Type="http://schemas.openxmlformats.org/officeDocument/2006/relationships/hyperlink" Target="https://paperpile.com/c/BaxzXw/ZFS9d" TargetMode="External"/><Relationship Id="rId10" Type="http://schemas.openxmlformats.org/officeDocument/2006/relationships/hyperlink" Target="https://paperpile.com/c/BaxzXw/gJkDW" TargetMode="External"/><Relationship Id="rId4" Type="http://schemas.openxmlformats.org/officeDocument/2006/relationships/hyperlink" Target="https://paperpile.com/c/BaxzXw/ve9xP+G1pLM+RhgK" TargetMode="External"/><Relationship Id="rId9" Type="http://schemas.openxmlformats.org/officeDocument/2006/relationships/hyperlink" Target="https://paperpile.com/c/BaxzXw/vZHq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2021-12-14T15:29:00Z</dcterms:created>
  <dcterms:modified xsi:type="dcterms:W3CDTF">2021-12-14T15:30:00Z</dcterms:modified>
</cp:coreProperties>
</file>