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961C5" w14:textId="77777777" w:rsidR="00552408" w:rsidRDefault="00552408" w:rsidP="00552408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SUPPLEMENTAL TABLES</w:t>
      </w:r>
    </w:p>
    <w:p w14:paraId="1FE8A6D3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Supplemental Table 1 - </w:t>
      </w:r>
      <w:proofErr w:type="spellStart"/>
      <w:r>
        <w:rPr>
          <w:sz w:val="24"/>
          <w:szCs w:val="24"/>
        </w:rPr>
        <w:t>AngII</w:t>
      </w:r>
      <w:proofErr w:type="spellEnd"/>
      <w:r>
        <w:rPr>
          <w:sz w:val="24"/>
          <w:szCs w:val="24"/>
        </w:rPr>
        <w:t>-treated H295R mature RNA abundance quantification</w:t>
      </w:r>
    </w:p>
    <w:p w14:paraId="3B54A17A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Supplemental Table 2 - </w:t>
      </w:r>
      <w:proofErr w:type="spellStart"/>
      <w:r>
        <w:rPr>
          <w:sz w:val="24"/>
          <w:szCs w:val="24"/>
        </w:rPr>
        <w:t>AngII</w:t>
      </w:r>
      <w:proofErr w:type="spellEnd"/>
      <w:r>
        <w:rPr>
          <w:sz w:val="24"/>
          <w:szCs w:val="24"/>
        </w:rPr>
        <w:t>-treated H295R mature RNA k-means clustering, differential gene expression analysis, and correlation results</w:t>
      </w:r>
    </w:p>
    <w:p w14:paraId="38C3A155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Supplemental Table 3 - Estimated decay rates in for unstimulated H295R</w:t>
      </w:r>
    </w:p>
    <w:p w14:paraId="441115D1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Supplemental Table 4 - </w:t>
      </w:r>
      <w:proofErr w:type="spellStart"/>
      <w:r>
        <w:rPr>
          <w:sz w:val="24"/>
          <w:szCs w:val="24"/>
        </w:rPr>
        <w:t>AngII</w:t>
      </w:r>
      <w:proofErr w:type="spellEnd"/>
      <w:r>
        <w:rPr>
          <w:sz w:val="24"/>
          <w:szCs w:val="24"/>
        </w:rPr>
        <w:t>-treated H295R precursor RNA abundance quantification</w:t>
      </w:r>
    </w:p>
    <w:p w14:paraId="5E7EC7E5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Supplemental Table 5 - Exon-intron-split analysis results</w:t>
      </w:r>
    </w:p>
    <w:p w14:paraId="40C77548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Supplemental Table 6 - </w:t>
      </w:r>
      <w:proofErr w:type="spellStart"/>
      <w:r>
        <w:rPr>
          <w:sz w:val="24"/>
          <w:szCs w:val="24"/>
        </w:rPr>
        <w:t>AngII</w:t>
      </w:r>
      <w:proofErr w:type="spellEnd"/>
      <w:r>
        <w:rPr>
          <w:sz w:val="24"/>
          <w:szCs w:val="24"/>
        </w:rPr>
        <w:t>-treated adrenocortical cell mature RNA abundance quantification and differential gene expression analysis</w:t>
      </w:r>
    </w:p>
    <w:p w14:paraId="3EEB23DF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Supplemental Table 7 - ACTH-treated adrenocortical cell mature RNA abundance quantification and differential gene expression analysis</w:t>
      </w:r>
    </w:p>
    <w:p w14:paraId="5DCBFE3F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Supplemental Table 8 - Changes in aldosterone levels from siRNA screen.</w:t>
      </w:r>
    </w:p>
    <w:p w14:paraId="75E5A7BA" w14:textId="77777777" w:rsidR="00552408" w:rsidRDefault="00552408" w:rsidP="0055240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Supplemental Table 9 - BTG2 knockdown mature RNA abundance quantification</w:t>
      </w:r>
    </w:p>
    <w:p w14:paraId="6D375142" w14:textId="77777777" w:rsidR="00A87D82" w:rsidRDefault="00A87D82"/>
    <w:sectPr w:rsidR="00A87D82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08"/>
    <w:rsid w:val="00552408"/>
    <w:rsid w:val="00A87D82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62B3"/>
  <w15:chartTrackingRefBased/>
  <w15:docId w15:val="{986A47B8-FE53-D14A-B9AE-789EB7F9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08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2021-06-01T19:00:00Z</dcterms:created>
  <dcterms:modified xsi:type="dcterms:W3CDTF">2021-06-01T19:00:00Z</dcterms:modified>
</cp:coreProperties>
</file>