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F6411" w14:textId="77777777" w:rsidR="00F9384F" w:rsidRPr="00BC0930" w:rsidRDefault="00F9384F" w:rsidP="00F9384F">
      <w:pPr>
        <w:ind w:firstLine="0"/>
        <w:rPr>
          <w:b/>
          <w:bCs/>
          <w:lang w:val="en-US"/>
        </w:rPr>
      </w:pPr>
      <w:r w:rsidRPr="00BC0930">
        <w:rPr>
          <w:b/>
          <w:bCs/>
          <w:lang w:val="en-US"/>
        </w:rPr>
        <w:t xml:space="preserve">Supplemental Information. </w:t>
      </w:r>
    </w:p>
    <w:p w14:paraId="63DEE133" w14:textId="77777777" w:rsidR="00F9384F" w:rsidRDefault="00F9384F" w:rsidP="00F9384F">
      <w:pPr>
        <w:ind w:firstLine="0"/>
        <w:rPr>
          <w:lang w:val="en-US"/>
        </w:rPr>
      </w:pPr>
      <w:r w:rsidRPr="00BC0930">
        <w:rPr>
          <w:b/>
          <w:bCs/>
          <w:lang w:val="en-US"/>
        </w:rPr>
        <w:t>Supplemental Table S1</w:t>
      </w:r>
      <w:r>
        <w:rPr>
          <w:lang w:val="en-US"/>
        </w:rPr>
        <w:t xml:space="preserve">. </w:t>
      </w:r>
      <w:r w:rsidRPr="00BC0930">
        <w:rPr>
          <w:lang w:val="en-US"/>
        </w:rPr>
        <w:t>Background threshold and sensitivity of the DG-seq pipeline.</w:t>
      </w:r>
    </w:p>
    <w:p w14:paraId="787259A2" w14:textId="77777777" w:rsidR="00F9384F" w:rsidRDefault="00F9384F" w:rsidP="00F9384F">
      <w:pPr>
        <w:ind w:firstLine="0"/>
        <w:rPr>
          <w:lang w:val="en-US"/>
        </w:rPr>
      </w:pPr>
      <w:r w:rsidRPr="00BC0930">
        <w:rPr>
          <w:b/>
          <w:bCs/>
          <w:lang w:val="en-US"/>
        </w:rPr>
        <w:t>Supplemental Table S2</w:t>
      </w:r>
      <w:r>
        <w:rPr>
          <w:lang w:val="en-US"/>
        </w:rPr>
        <w:t xml:space="preserve">. </w:t>
      </w:r>
      <w:r w:rsidRPr="00BC0930">
        <w:rPr>
          <w:lang w:val="en-US"/>
        </w:rPr>
        <w:t>Reproducibility of the DG-seq pipeline</w:t>
      </w:r>
    </w:p>
    <w:p w14:paraId="55E5A292" w14:textId="77777777" w:rsidR="00F9384F" w:rsidRDefault="00F9384F" w:rsidP="00F9384F">
      <w:pPr>
        <w:ind w:firstLine="0"/>
        <w:rPr>
          <w:lang w:val="en-US"/>
        </w:rPr>
      </w:pPr>
      <w:r w:rsidRPr="00BC0930">
        <w:rPr>
          <w:b/>
          <w:bCs/>
          <w:lang w:val="en-US"/>
        </w:rPr>
        <w:t>Supplemental Table S3</w:t>
      </w:r>
      <w:r>
        <w:rPr>
          <w:lang w:val="en-US"/>
        </w:rPr>
        <w:t xml:space="preserve">. </w:t>
      </w:r>
      <w:r w:rsidRPr="00BC0930">
        <w:rPr>
          <w:lang w:val="en-US"/>
        </w:rPr>
        <w:t xml:space="preserve">Features of the DVGs detected upon RT-seq or RT-PCR-seq on </w:t>
      </w:r>
      <w:proofErr w:type="spellStart"/>
      <w:r w:rsidRPr="00BC0930">
        <w:rPr>
          <w:lang w:val="en-US"/>
        </w:rPr>
        <w:t>vRNAs</w:t>
      </w:r>
      <w:proofErr w:type="spellEnd"/>
      <w:r w:rsidRPr="00BC0930">
        <w:rPr>
          <w:lang w:val="en-US"/>
        </w:rPr>
        <w:t xml:space="preserve"> extracted from the PA-K635A, PA-R638A or WT viral stocks in experiment #1</w:t>
      </w:r>
    </w:p>
    <w:p w14:paraId="659AABA8" w14:textId="77777777" w:rsidR="00F9384F" w:rsidRPr="00127541" w:rsidRDefault="00F9384F" w:rsidP="00F9384F">
      <w:pPr>
        <w:ind w:firstLine="0"/>
        <w:rPr>
          <w:lang w:val="en-US"/>
        </w:rPr>
      </w:pPr>
    </w:p>
    <w:p w14:paraId="79B82618" w14:textId="77777777" w:rsidR="00F9384F" w:rsidRPr="00BC1C12" w:rsidRDefault="00F9384F" w:rsidP="00F9384F">
      <w:pPr>
        <w:ind w:firstLine="0"/>
        <w:rPr>
          <w:lang w:val="en-US"/>
        </w:rPr>
      </w:pPr>
      <w:r w:rsidRPr="00BC1C12">
        <w:rPr>
          <w:b/>
          <w:bCs/>
          <w:lang w:val="en-US"/>
        </w:rPr>
        <w:t xml:space="preserve">Supplemental Figure </w:t>
      </w:r>
      <w:r>
        <w:rPr>
          <w:b/>
          <w:bCs/>
          <w:lang w:val="en-US"/>
        </w:rPr>
        <w:t>S</w:t>
      </w:r>
      <w:r w:rsidRPr="00BC1C12">
        <w:rPr>
          <w:b/>
          <w:bCs/>
          <w:lang w:val="en-US"/>
        </w:rPr>
        <w:t>1. Reproducibility and robustness of the read count threshold</w:t>
      </w:r>
      <w:r>
        <w:rPr>
          <w:lang w:val="en-US"/>
        </w:rPr>
        <w:t xml:space="preserve">. Two control experiments performing RT-seq or RT-PCR-seq on equimolar mixes of eight full-length </w:t>
      </w:r>
      <w:r w:rsidRPr="00BC1C12">
        <w:rPr>
          <w:i/>
          <w:lang w:val="en-US"/>
        </w:rPr>
        <w:t>in vitro</w:t>
      </w:r>
      <w:r>
        <w:rPr>
          <w:lang w:val="en-US"/>
        </w:rPr>
        <w:t xml:space="preserve"> transcribed (IVT) influenza </w:t>
      </w:r>
      <w:proofErr w:type="spellStart"/>
      <w:r>
        <w:rPr>
          <w:lang w:val="en-US"/>
        </w:rPr>
        <w:t>vRNAs</w:t>
      </w:r>
      <w:proofErr w:type="spellEnd"/>
      <w:r>
        <w:rPr>
          <w:lang w:val="en-US"/>
        </w:rPr>
        <w:t xml:space="preserve"> were done. </w:t>
      </w:r>
      <w:proofErr w:type="spellStart"/>
      <w:r>
        <w:rPr>
          <w:lang w:val="en-US"/>
        </w:rPr>
        <w:t>Expt</w:t>
      </w:r>
      <w:proofErr w:type="spellEnd"/>
      <w:r>
        <w:rPr>
          <w:lang w:val="en-US"/>
        </w:rPr>
        <w:t xml:space="preserve"> #A (3 RT-seq and 2 RT-PCR-seq mixes) corresponds to the initial experiment shown in Figure 1C and </w:t>
      </w:r>
      <w:proofErr w:type="spellStart"/>
      <w:r>
        <w:rPr>
          <w:lang w:val="en-US"/>
        </w:rPr>
        <w:t>Expt</w:t>
      </w:r>
      <w:proofErr w:type="spellEnd"/>
      <w:r>
        <w:rPr>
          <w:lang w:val="en-US"/>
        </w:rPr>
        <w:t xml:space="preserve"> #B (2 RT-seq and 2 RT-PCR-seq mixes) is a second independent control experiment. </w:t>
      </w:r>
      <w:r w:rsidRPr="003D6955">
        <w:rPr>
          <w:b/>
          <w:lang w:val="en-US"/>
        </w:rPr>
        <w:t>A</w:t>
      </w:r>
      <w:r>
        <w:rPr>
          <w:b/>
          <w:lang w:val="en-US"/>
        </w:rPr>
        <w:t>–</w:t>
      </w:r>
      <w:r w:rsidRPr="003D6955">
        <w:rPr>
          <w:b/>
          <w:lang w:val="en-US"/>
        </w:rPr>
        <w:t>B</w:t>
      </w:r>
      <w:r>
        <w:rPr>
          <w:lang w:val="en-US"/>
        </w:rPr>
        <w:t>. Each point represents t</w:t>
      </w:r>
      <w:r w:rsidRPr="00BC1C12">
        <w:rPr>
          <w:lang w:val="en-US"/>
        </w:rPr>
        <w:t>he 99</w:t>
      </w:r>
      <w:r w:rsidRPr="00BC1C12">
        <w:rPr>
          <w:vertAlign w:val="superscript"/>
          <w:lang w:val="en-US"/>
        </w:rPr>
        <w:t>th</w:t>
      </w:r>
      <w:r w:rsidRPr="00BC1C12">
        <w:rPr>
          <w:lang w:val="en-US"/>
        </w:rPr>
        <w:t xml:space="preserve"> percentile</w:t>
      </w:r>
      <w:r>
        <w:rPr>
          <w:lang w:val="en-US"/>
        </w:rPr>
        <w:t xml:space="preserve"> of raw counts for deletions (Raw</w:t>
      </w:r>
      <w:r w:rsidRPr="00106ADF">
        <w:rPr>
          <w:vertAlign w:val="subscript"/>
          <w:lang w:val="en-US"/>
        </w:rPr>
        <w:t>99</w:t>
      </w:r>
      <w:r>
        <w:rPr>
          <w:lang w:val="en-US"/>
        </w:rPr>
        <w:t xml:space="preserve">) for a given segment in a given IVT mix. </w:t>
      </w:r>
      <w:r w:rsidRPr="003D6955">
        <w:rPr>
          <w:b/>
          <w:lang w:val="en-US"/>
        </w:rPr>
        <w:t>A</w:t>
      </w:r>
      <w:r w:rsidRPr="005C1D99">
        <w:rPr>
          <w:lang w:val="en-US"/>
        </w:rPr>
        <w:t>.</w:t>
      </w:r>
      <w:r>
        <w:rPr>
          <w:lang w:val="en-US"/>
        </w:rPr>
        <w:t xml:space="preserve"> Distribution of Raw</w:t>
      </w:r>
      <w:r w:rsidRPr="003D6955">
        <w:rPr>
          <w:vertAlign w:val="subscript"/>
          <w:lang w:val="en-US"/>
        </w:rPr>
        <w:t>99</w:t>
      </w:r>
      <w:r>
        <w:rPr>
          <w:lang w:val="en-US"/>
        </w:rPr>
        <w:t xml:space="preserve"> in IVT mixes from </w:t>
      </w:r>
      <w:proofErr w:type="spellStart"/>
      <w:r>
        <w:rPr>
          <w:lang w:val="en-US"/>
        </w:rPr>
        <w:t>Expt</w:t>
      </w:r>
      <w:proofErr w:type="spellEnd"/>
      <w:r>
        <w:rPr>
          <w:lang w:val="en-US"/>
        </w:rPr>
        <w:t xml:space="preserve"> #A and </w:t>
      </w:r>
      <w:proofErr w:type="spellStart"/>
      <w:r>
        <w:rPr>
          <w:lang w:val="en-US"/>
        </w:rPr>
        <w:t>Expt</w:t>
      </w:r>
      <w:proofErr w:type="spellEnd"/>
      <w:r>
        <w:rPr>
          <w:lang w:val="en-US"/>
        </w:rPr>
        <w:t xml:space="preserve"> #B (after pooling deletions detected by RT-seq and RT-PCR-seq). </w:t>
      </w:r>
      <w:r w:rsidRPr="003D6955">
        <w:rPr>
          <w:b/>
          <w:lang w:val="en-US"/>
        </w:rPr>
        <w:t>B</w:t>
      </w:r>
      <w:r>
        <w:rPr>
          <w:lang w:val="en-US"/>
        </w:rPr>
        <w:t>. Distribution of Raw</w:t>
      </w:r>
      <w:r w:rsidRPr="00A7146B">
        <w:rPr>
          <w:vertAlign w:val="subscript"/>
          <w:lang w:val="en-US"/>
        </w:rPr>
        <w:t>99</w:t>
      </w:r>
      <w:r>
        <w:rPr>
          <w:lang w:val="en-US"/>
        </w:rPr>
        <w:t xml:space="preserve"> in IVT mixes analyzed by RT-seq and RT-PCR-seq (after pooling deletions detected in </w:t>
      </w:r>
      <w:proofErr w:type="spellStart"/>
      <w:r>
        <w:rPr>
          <w:lang w:val="en-US"/>
        </w:rPr>
        <w:t>Expt</w:t>
      </w:r>
      <w:proofErr w:type="spellEnd"/>
      <w:r>
        <w:rPr>
          <w:lang w:val="en-US"/>
        </w:rPr>
        <w:t xml:space="preserve"> #A and </w:t>
      </w:r>
      <w:proofErr w:type="spellStart"/>
      <w:r>
        <w:rPr>
          <w:lang w:val="en-US"/>
        </w:rPr>
        <w:t>Expt</w:t>
      </w:r>
      <w:proofErr w:type="spellEnd"/>
      <w:r>
        <w:rPr>
          <w:lang w:val="en-US"/>
        </w:rPr>
        <w:t xml:space="preserve"> #B). </w:t>
      </w:r>
      <w:proofErr w:type="spellStart"/>
      <w:r>
        <w:rPr>
          <w:lang w:val="en-US"/>
        </w:rPr>
        <w:t>n.s</w:t>
      </w:r>
      <w:proofErr w:type="spellEnd"/>
      <w:r>
        <w:rPr>
          <w:lang w:val="en-US"/>
        </w:rPr>
        <w:t xml:space="preserve">., not significant (Mann-Whitney U test). </w:t>
      </w:r>
      <w:r>
        <w:rPr>
          <w:b/>
          <w:lang w:val="en-US"/>
        </w:rPr>
        <w:t>C–D</w:t>
      </w:r>
      <w:r>
        <w:rPr>
          <w:lang w:val="en-US"/>
        </w:rPr>
        <w:t>. Each point represents the 99</w:t>
      </w:r>
      <w:r w:rsidRPr="003D6955">
        <w:rPr>
          <w:vertAlign w:val="superscript"/>
          <w:lang w:val="en-US"/>
        </w:rPr>
        <w:t>th</w:t>
      </w:r>
      <w:r>
        <w:rPr>
          <w:lang w:val="en-US"/>
        </w:rPr>
        <w:t xml:space="preserve"> percentile of raw counts (Raw</w:t>
      </w:r>
      <w:r w:rsidRPr="003D6955">
        <w:rPr>
          <w:vertAlign w:val="subscript"/>
          <w:lang w:val="en-US"/>
        </w:rPr>
        <w:t>99</w:t>
      </w:r>
      <w:r>
        <w:rPr>
          <w:lang w:val="en-US"/>
        </w:rPr>
        <w:t>) or normalized counts (Normalized</w:t>
      </w:r>
      <w:r w:rsidRPr="003D6955">
        <w:rPr>
          <w:vertAlign w:val="subscript"/>
          <w:lang w:val="en-US"/>
        </w:rPr>
        <w:t>99</w:t>
      </w:r>
      <w:r>
        <w:rPr>
          <w:lang w:val="en-US"/>
        </w:rPr>
        <w:t>) for a given segment in a given IVT mix, and was plotted as a function of the coverage depth. r and p values were obtained using Pearson’s correlation.</w:t>
      </w:r>
    </w:p>
    <w:p w14:paraId="289A4D4C" w14:textId="77777777" w:rsidR="00F9384F" w:rsidRDefault="00F9384F" w:rsidP="00F9384F">
      <w:pPr>
        <w:ind w:firstLine="0"/>
        <w:rPr>
          <w:lang w:val="en-US"/>
        </w:rPr>
      </w:pPr>
    </w:p>
    <w:p w14:paraId="429429B6" w14:textId="77777777" w:rsidR="00F9384F" w:rsidRDefault="00F9384F" w:rsidP="00F9384F">
      <w:pPr>
        <w:ind w:firstLine="0"/>
        <w:rPr>
          <w:lang w:val="en-US"/>
        </w:rPr>
      </w:pPr>
      <w:r w:rsidRPr="00BC1C12">
        <w:rPr>
          <w:b/>
          <w:lang w:val="en-US"/>
        </w:rPr>
        <w:t>Supplemental Figure S2. DG-seq analysis of RNA</w:t>
      </w:r>
      <w:r>
        <w:rPr>
          <w:b/>
          <w:lang w:val="en-US"/>
        </w:rPr>
        <w:t>-</w:t>
      </w:r>
      <w:r w:rsidRPr="00BC1C12">
        <w:rPr>
          <w:b/>
          <w:lang w:val="en-US"/>
        </w:rPr>
        <w:t xml:space="preserve">seq data from </w:t>
      </w:r>
      <w:proofErr w:type="spellStart"/>
      <w:r w:rsidRPr="00BC1C12">
        <w:rPr>
          <w:b/>
          <w:lang w:val="en-US"/>
        </w:rPr>
        <w:t>Alnaji</w:t>
      </w:r>
      <w:proofErr w:type="spellEnd"/>
      <w:r w:rsidRPr="00BC1C12">
        <w:rPr>
          <w:b/>
          <w:lang w:val="en-US"/>
        </w:rPr>
        <w:t xml:space="preserve"> </w:t>
      </w:r>
      <w:r w:rsidRPr="00BC1C12">
        <w:rPr>
          <w:b/>
          <w:i/>
          <w:lang w:val="en-US"/>
        </w:rPr>
        <w:t>et al.</w:t>
      </w:r>
      <w:r w:rsidRPr="00BC1C12">
        <w:rPr>
          <w:b/>
          <w:lang w:val="en-US"/>
        </w:rPr>
        <w:t xml:space="preserve"> relative to four DVG-enriched viral stocks. </w:t>
      </w:r>
      <w:r>
        <w:rPr>
          <w:lang w:val="en-US"/>
        </w:rPr>
        <w:t xml:space="preserve">RNA-seq data from the earliest high-MOI passages of the indicated viruses were analyzed with the DG-seq pipeline (P6 for A/Cal07; P1 for A/NC99; P4 for A/Perth09 and P7 for B/Lee). </w:t>
      </w:r>
      <w:r w:rsidRPr="00A7146B">
        <w:rPr>
          <w:b/>
          <w:lang w:val="en-US"/>
        </w:rPr>
        <w:t>A</w:t>
      </w:r>
      <w:r>
        <w:rPr>
          <w:lang w:val="en-US"/>
        </w:rPr>
        <w:t xml:space="preserve">. Numbers of distinct DVGs detected within each genome segment for two lineages (L1 and L2) of the indicated viruses (to be compared to Figure 9B of </w:t>
      </w:r>
      <w:proofErr w:type="spellStart"/>
      <w:r>
        <w:rPr>
          <w:lang w:val="en-US"/>
        </w:rPr>
        <w:t>Alnaji</w:t>
      </w:r>
      <w:proofErr w:type="spellEnd"/>
      <w:r>
        <w:rPr>
          <w:lang w:val="en-US"/>
        </w:rPr>
        <w:t xml:space="preserve"> </w:t>
      </w:r>
      <w:r w:rsidRPr="00BC1C12">
        <w:rPr>
          <w:i/>
          <w:lang w:val="en-US"/>
        </w:rPr>
        <w:t>et al.</w:t>
      </w:r>
      <w:r>
        <w:rPr>
          <w:lang w:val="en-US"/>
        </w:rPr>
        <w:t xml:space="preserve">). </w:t>
      </w:r>
      <w:r w:rsidRPr="00BC1C12">
        <w:rPr>
          <w:b/>
          <w:lang w:val="en-US"/>
        </w:rPr>
        <w:t>B</w:t>
      </w:r>
      <w:r>
        <w:rPr>
          <w:lang w:val="en-US"/>
        </w:rPr>
        <w:t xml:space="preserve">. Parallel coordinate diagrams of the specific locations of DVG junctions found in the PB1 and PA segments of lineage 1 of the indicated viruses (to be compared to Figure 9B of </w:t>
      </w:r>
      <w:proofErr w:type="spellStart"/>
      <w:r>
        <w:rPr>
          <w:lang w:val="en-US"/>
        </w:rPr>
        <w:t>Alnaji</w:t>
      </w:r>
      <w:proofErr w:type="spellEnd"/>
      <w:r>
        <w:rPr>
          <w:lang w:val="en-US"/>
        </w:rPr>
        <w:t xml:space="preserve"> </w:t>
      </w:r>
      <w:r w:rsidRPr="00BC1C12">
        <w:rPr>
          <w:i/>
          <w:lang w:val="en-US"/>
        </w:rPr>
        <w:t>et al.</w:t>
      </w:r>
      <w:r>
        <w:rPr>
          <w:lang w:val="en-US"/>
        </w:rPr>
        <w:t>).</w:t>
      </w:r>
    </w:p>
    <w:p w14:paraId="4911016F" w14:textId="77777777" w:rsidR="00F9384F" w:rsidRDefault="00F9384F" w:rsidP="00F9384F">
      <w:pPr>
        <w:ind w:firstLine="0"/>
        <w:rPr>
          <w:b/>
          <w:lang w:val="en-US"/>
        </w:rPr>
      </w:pPr>
    </w:p>
    <w:p w14:paraId="2C70E2C1" w14:textId="77777777" w:rsidR="00F9384F" w:rsidRDefault="00F9384F" w:rsidP="00F9384F">
      <w:pPr>
        <w:ind w:firstLine="0"/>
        <w:rPr>
          <w:lang w:val="en-US"/>
        </w:rPr>
      </w:pPr>
      <w:r>
        <w:rPr>
          <w:b/>
          <w:lang w:val="en-US"/>
        </w:rPr>
        <w:lastRenderedPageBreak/>
        <w:t xml:space="preserve">Supplemental Figure S3. Comparison of the DG-seq and </w:t>
      </w:r>
      <w:proofErr w:type="spellStart"/>
      <w:r>
        <w:rPr>
          <w:b/>
          <w:lang w:val="en-US"/>
        </w:rPr>
        <w:t>ViReMa</w:t>
      </w:r>
      <w:proofErr w:type="spellEnd"/>
      <w:r>
        <w:rPr>
          <w:b/>
          <w:lang w:val="en-US"/>
        </w:rPr>
        <w:t xml:space="preserve"> pipelines (related to Figure 7). </w:t>
      </w:r>
      <w:r>
        <w:rPr>
          <w:lang w:val="en-US"/>
        </w:rPr>
        <w:t>DVGs detected from WT, PA-K635A and PA-R638A samples obtained after RT-seq (</w:t>
      </w:r>
      <w:r w:rsidRPr="00BC1C12">
        <w:rPr>
          <w:b/>
          <w:lang w:val="en-US"/>
        </w:rPr>
        <w:t>A</w:t>
      </w:r>
      <w:r>
        <w:rPr>
          <w:lang w:val="en-US"/>
        </w:rPr>
        <w:t>) or RT-PCR-seq (</w:t>
      </w:r>
      <w:r w:rsidRPr="00BC1C12">
        <w:rPr>
          <w:b/>
          <w:lang w:val="en-US"/>
        </w:rPr>
        <w:t>B</w:t>
      </w:r>
      <w:r>
        <w:rPr>
          <w:lang w:val="en-US"/>
        </w:rPr>
        <w:t xml:space="preserve">) and upon DG-seq or </w:t>
      </w:r>
      <w:proofErr w:type="spellStart"/>
      <w:r>
        <w:rPr>
          <w:lang w:val="en-US"/>
        </w:rPr>
        <w:t>ViReMa</w:t>
      </w:r>
      <w:proofErr w:type="spellEnd"/>
      <w:r>
        <w:rPr>
          <w:lang w:val="en-US"/>
        </w:rPr>
        <w:t xml:space="preserve"> analysis were compared for the PA, PB1 and PB2 segments.</w:t>
      </w:r>
      <w:r>
        <w:rPr>
          <w:b/>
          <w:lang w:val="en-US"/>
        </w:rPr>
        <w:t xml:space="preserve"> </w:t>
      </w:r>
      <w:r w:rsidRPr="00BC1C12">
        <w:rPr>
          <w:lang w:val="en-US"/>
        </w:rPr>
        <w:t xml:space="preserve">Venn diagrams showing the numbers of shared </w:t>
      </w:r>
      <w:r>
        <w:rPr>
          <w:lang w:val="en-US"/>
        </w:rPr>
        <w:t xml:space="preserve">(purple) </w:t>
      </w:r>
      <w:r w:rsidRPr="00BC1C12">
        <w:rPr>
          <w:lang w:val="en-US"/>
        </w:rPr>
        <w:t xml:space="preserve">versus unique detected DVGs between DG-seq </w:t>
      </w:r>
      <w:r>
        <w:rPr>
          <w:lang w:val="en-US"/>
        </w:rPr>
        <w:t xml:space="preserve">(pink) </w:t>
      </w:r>
      <w:r w:rsidRPr="00BC1C12">
        <w:rPr>
          <w:lang w:val="en-US"/>
        </w:rPr>
        <w:t xml:space="preserve">and </w:t>
      </w:r>
      <w:proofErr w:type="spellStart"/>
      <w:r w:rsidRPr="00BC1C12">
        <w:rPr>
          <w:lang w:val="en-US"/>
        </w:rPr>
        <w:t>ViReMa</w:t>
      </w:r>
      <w:proofErr w:type="spellEnd"/>
      <w:r w:rsidRPr="00BC1C12">
        <w:rPr>
          <w:lang w:val="en-US"/>
        </w:rPr>
        <w:t xml:space="preserve"> </w:t>
      </w:r>
      <w:r>
        <w:rPr>
          <w:lang w:val="en-US"/>
        </w:rPr>
        <w:t xml:space="preserve">(blue) </w:t>
      </w:r>
      <w:r w:rsidRPr="00BC1C12">
        <w:rPr>
          <w:lang w:val="en-US"/>
        </w:rPr>
        <w:t>pipelines</w:t>
      </w:r>
      <w:r>
        <w:rPr>
          <w:lang w:val="en-US"/>
        </w:rPr>
        <w:t xml:space="preserve"> are shown.</w:t>
      </w:r>
    </w:p>
    <w:p w14:paraId="01B7E161" w14:textId="77777777" w:rsidR="00F9384F" w:rsidRDefault="00F9384F" w:rsidP="00F9384F">
      <w:pPr>
        <w:ind w:firstLine="0"/>
        <w:rPr>
          <w:lang w:val="en-US"/>
        </w:rPr>
      </w:pPr>
    </w:p>
    <w:p w14:paraId="064E02DC" w14:textId="77777777" w:rsidR="00F9384F" w:rsidRPr="00060BB9" w:rsidRDefault="00F9384F" w:rsidP="00F9384F">
      <w:pPr>
        <w:ind w:firstLine="0"/>
        <w:rPr>
          <w:highlight w:val="yellow"/>
          <w:lang w:val="en-US"/>
        </w:rPr>
      </w:pPr>
      <w:r w:rsidRPr="00060BB9">
        <w:rPr>
          <w:b/>
          <w:bCs/>
          <w:highlight w:val="yellow"/>
          <w:lang w:val="en-US"/>
        </w:rPr>
        <w:t>Supplemental File S1</w:t>
      </w:r>
      <w:r w:rsidRPr="00060BB9">
        <w:rPr>
          <w:highlight w:val="yellow"/>
          <w:lang w:val="en-US"/>
        </w:rPr>
        <w:t>. DG-seq functions script</w:t>
      </w:r>
    </w:p>
    <w:p w14:paraId="79D06360" w14:textId="77777777" w:rsidR="00F9384F" w:rsidRPr="00060BB9" w:rsidRDefault="00F9384F" w:rsidP="00F9384F">
      <w:pPr>
        <w:ind w:firstLine="0"/>
        <w:rPr>
          <w:highlight w:val="yellow"/>
          <w:lang w:val="en-US"/>
        </w:rPr>
      </w:pPr>
    </w:p>
    <w:p w14:paraId="4A814636" w14:textId="77777777" w:rsidR="00F9384F" w:rsidRPr="00E83720" w:rsidRDefault="00F9384F" w:rsidP="00F9384F">
      <w:pPr>
        <w:ind w:firstLine="0"/>
        <w:rPr>
          <w:b/>
          <w:lang w:val="en-US"/>
        </w:rPr>
      </w:pPr>
      <w:r w:rsidRPr="00060BB9">
        <w:rPr>
          <w:b/>
          <w:bCs/>
          <w:highlight w:val="yellow"/>
          <w:lang w:val="en-US"/>
        </w:rPr>
        <w:t>Supplemental File S2</w:t>
      </w:r>
      <w:r w:rsidRPr="00060BB9">
        <w:rPr>
          <w:highlight w:val="yellow"/>
          <w:lang w:val="en-US"/>
        </w:rPr>
        <w:t>. DG-seq example script</w:t>
      </w:r>
    </w:p>
    <w:p w14:paraId="6FCB424E" w14:textId="77777777" w:rsidR="00973E6B" w:rsidRDefault="00973E6B"/>
    <w:sectPr w:rsidR="00973E6B" w:rsidSect="00C56173">
      <w:footerReference w:type="even" r:id="rId4"/>
      <w:footerReference w:type="default" r:id="rId5"/>
      <w:pgSz w:w="11900" w:h="16840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776435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6F6958" w14:textId="77777777" w:rsidR="002120C8" w:rsidRDefault="00F9384F" w:rsidP="003610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94C1B" w14:textId="77777777" w:rsidR="002120C8" w:rsidRDefault="00F9384F" w:rsidP="003610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00489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B5DBA8" w14:textId="77777777" w:rsidR="002120C8" w:rsidRDefault="00F9384F" w:rsidP="00361011">
        <w:pPr>
          <w:pStyle w:val="Footer"/>
          <w:framePr w:wrap="none" w:vAnchor="text" w:hAnchor="margin" w:xAlign="right" w:y="1"/>
          <w:rPr>
            <w:rStyle w:val="PageNumber"/>
          </w:rPr>
        </w:pPr>
        <w:proofErr w:type="spellStart"/>
        <w:r>
          <w:rPr>
            <w:rStyle w:val="PageNumber"/>
          </w:rPr>
          <w:t>Boussier</w:t>
        </w:r>
        <w:proofErr w:type="spellEnd"/>
        <w:r>
          <w:rPr>
            <w:rStyle w:val="PageNumber"/>
          </w:rPr>
          <w:t xml:space="preserve"> </w:t>
        </w:r>
        <w:r w:rsidRPr="00361011">
          <w:rPr>
            <w:rStyle w:val="PageNumber"/>
            <w:i/>
          </w:rPr>
          <w:t>et al.</w:t>
        </w:r>
        <w:r>
          <w:rPr>
            <w:rStyle w:val="PageNumber"/>
          </w:rPr>
          <w:t xml:space="preserve">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2B85CEC" w14:textId="77777777" w:rsidR="002120C8" w:rsidRDefault="00F9384F" w:rsidP="0036101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4F"/>
    <w:rsid w:val="00973E6B"/>
    <w:rsid w:val="00E806F9"/>
    <w:rsid w:val="00F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26B44"/>
  <w15:chartTrackingRefBased/>
  <w15:docId w15:val="{2B5FBFC9-2AB1-2E43-AE28-5D4B9EB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4F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2"/>
      <w:szCs w:val="22"/>
      <w:lang w:val="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384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84F"/>
    <w:rPr>
      <w:rFonts w:ascii="Times New Roman" w:eastAsia="Times New Roman" w:hAnsi="Times New Roman" w:cs="Times New Roman"/>
      <w:sz w:val="22"/>
      <w:szCs w:val="22"/>
      <w:lang w:val="fr" w:eastAsia="fr-FR"/>
    </w:rPr>
  </w:style>
  <w:style w:type="character" w:styleId="PageNumber">
    <w:name w:val="page number"/>
    <w:basedOn w:val="DefaultParagraphFont"/>
    <w:uiPriority w:val="99"/>
    <w:semiHidden/>
    <w:unhideWhenUsed/>
    <w:rsid w:val="00F9384F"/>
  </w:style>
  <w:style w:type="character" w:styleId="LineNumber">
    <w:name w:val="line number"/>
    <w:basedOn w:val="DefaultParagraphFont"/>
    <w:uiPriority w:val="99"/>
    <w:semiHidden/>
    <w:unhideWhenUsed/>
    <w:rsid w:val="00F9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2020-09-14T16:49:00Z</dcterms:created>
  <dcterms:modified xsi:type="dcterms:W3CDTF">2020-09-14T16:49:00Z</dcterms:modified>
</cp:coreProperties>
</file>