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A4E26" w14:textId="77777777" w:rsidR="00BE6EF2" w:rsidRPr="00B904D3" w:rsidRDefault="00BE6EF2" w:rsidP="00BE6EF2">
      <w:pPr>
        <w:spacing w:line="480" w:lineRule="auto"/>
        <w:jc w:val="both"/>
        <w:rPr>
          <w:rFonts w:ascii="Times" w:hAnsi="Times" w:cs="Times"/>
          <w:lang w:val="en-US"/>
        </w:rPr>
      </w:pPr>
      <w:r w:rsidRPr="00F656E6">
        <w:rPr>
          <w:rFonts w:ascii="Times" w:eastAsiaTheme="minorEastAsia" w:hAnsi="Times" w:cs="Times"/>
          <w:b/>
          <w:lang w:val="en-US"/>
        </w:rPr>
        <w:t>Supplemental Figure 1.</w:t>
      </w:r>
      <w:r w:rsidRPr="00F656E6">
        <w:rPr>
          <w:rFonts w:ascii="Times" w:eastAsiaTheme="minorEastAsia" w:hAnsi="Times" w:cs="Times"/>
          <w:lang w:val="en-US"/>
        </w:rPr>
        <w:t xml:space="preserve"> Additional </w:t>
      </w:r>
      <w:proofErr w:type="spellStart"/>
      <w:r w:rsidRPr="00F656E6">
        <w:rPr>
          <w:rFonts w:ascii="Times" w:eastAsiaTheme="minorEastAsia" w:hAnsi="Times" w:cs="Times"/>
          <w:lang w:val="en-US"/>
        </w:rPr>
        <w:t>Scatchard</w:t>
      </w:r>
      <w:proofErr w:type="spellEnd"/>
      <w:r w:rsidRPr="00F656E6">
        <w:rPr>
          <w:rFonts w:ascii="Times" w:eastAsiaTheme="minorEastAsia" w:hAnsi="Times" w:cs="Times"/>
          <w:lang w:val="en-US"/>
        </w:rPr>
        <w:t xml:space="preserve"> plots and binding models for the different antibodies, determining the K</w:t>
      </w:r>
      <w:r w:rsidRPr="00F656E6">
        <w:rPr>
          <w:rFonts w:ascii="Times" w:eastAsiaTheme="minorEastAsia" w:hAnsi="Times" w:cs="Times"/>
          <w:vertAlign w:val="subscript"/>
          <w:lang w:val="en-US"/>
        </w:rPr>
        <w:t>D</w:t>
      </w:r>
      <w:r w:rsidRPr="00F656E6">
        <w:rPr>
          <w:rFonts w:ascii="Times" w:eastAsiaTheme="minorEastAsia" w:hAnsi="Times" w:cs="Times"/>
          <w:lang w:val="en-US"/>
        </w:rPr>
        <w:t>-value.</w:t>
      </w:r>
      <w:r w:rsidRPr="00B904D3">
        <w:rPr>
          <w:rFonts w:ascii="Times" w:hAnsi="Times" w:cs="Times"/>
          <w:lang w:val="en-US"/>
        </w:rPr>
        <w:t xml:space="preserve"> The figure shows </w:t>
      </w:r>
      <w:proofErr w:type="spellStart"/>
      <w:r w:rsidRPr="00B904D3">
        <w:rPr>
          <w:rFonts w:ascii="Times" w:hAnsi="Times" w:cs="Times"/>
          <w:lang w:val="en-US"/>
        </w:rPr>
        <w:t>Scatchard</w:t>
      </w:r>
      <w:proofErr w:type="spellEnd"/>
      <w:r w:rsidRPr="00B904D3">
        <w:rPr>
          <w:rFonts w:ascii="Times" w:hAnsi="Times" w:cs="Times"/>
          <w:lang w:val="en-US"/>
        </w:rPr>
        <w:t xml:space="preserve"> plots and binding models of the antibodies to determine the K</w:t>
      </w:r>
      <w:r w:rsidRPr="00B904D3">
        <w:rPr>
          <w:rFonts w:ascii="Times" w:hAnsi="Times" w:cs="Times"/>
          <w:vertAlign w:val="subscript"/>
          <w:lang w:val="en-US"/>
        </w:rPr>
        <w:t>D</w:t>
      </w:r>
      <w:r w:rsidRPr="00B904D3">
        <w:rPr>
          <w:rFonts w:ascii="Times" w:hAnsi="Times" w:cs="Times"/>
          <w:lang w:val="en-US"/>
        </w:rPr>
        <w:t xml:space="preserve">-values, which are shown in figure 2H. (A-C) </w:t>
      </w:r>
      <w:proofErr w:type="spellStart"/>
      <w:r w:rsidRPr="00B904D3">
        <w:rPr>
          <w:rFonts w:ascii="Times" w:hAnsi="Times" w:cs="Times"/>
          <w:lang w:val="en-US"/>
        </w:rPr>
        <w:t>Scatchard</w:t>
      </w:r>
      <w:proofErr w:type="spellEnd"/>
      <w:r w:rsidRPr="00B904D3">
        <w:rPr>
          <w:rFonts w:ascii="Times" w:hAnsi="Times" w:cs="Times"/>
          <w:lang w:val="en-US"/>
        </w:rPr>
        <w:t xml:space="preserve"> Plots (upper graphs) and binding models (lower graphs) of the m</w:t>
      </w:r>
      <w:r w:rsidRPr="00B904D3">
        <w:rPr>
          <w:rFonts w:ascii="Times" w:hAnsi="Times" w:cs="Times"/>
          <w:vertAlign w:val="superscript"/>
          <w:lang w:val="en-US"/>
        </w:rPr>
        <w:t>6</w:t>
      </w:r>
      <w:r w:rsidRPr="00B904D3">
        <w:rPr>
          <w:rFonts w:ascii="Times" w:hAnsi="Times" w:cs="Times"/>
          <w:lang w:val="en-US"/>
        </w:rPr>
        <w:t>A antibodies 9B7, 13G2 and 11D11. (D-F) The same is shown for the m</w:t>
      </w:r>
      <w:r w:rsidRPr="00B904D3">
        <w:rPr>
          <w:rFonts w:ascii="Times" w:hAnsi="Times" w:cs="Times"/>
          <w:vertAlign w:val="superscript"/>
          <w:lang w:val="en-US"/>
        </w:rPr>
        <w:t>5</w:t>
      </w:r>
      <w:r w:rsidRPr="00B904D3">
        <w:rPr>
          <w:rFonts w:ascii="Times" w:hAnsi="Times" w:cs="Times"/>
          <w:lang w:val="en-US"/>
        </w:rPr>
        <w:t>C antibodies 32E2, 31B10 and 28F6. (G and H) K</w:t>
      </w:r>
      <w:r w:rsidRPr="00B904D3">
        <w:rPr>
          <w:rFonts w:ascii="Times" w:hAnsi="Times" w:cs="Times"/>
          <w:vertAlign w:val="subscript"/>
          <w:lang w:val="en-US"/>
        </w:rPr>
        <w:t>D</w:t>
      </w:r>
      <w:r w:rsidRPr="00B904D3">
        <w:rPr>
          <w:rFonts w:ascii="Times" w:hAnsi="Times" w:cs="Times"/>
          <w:lang w:val="en-US"/>
        </w:rPr>
        <w:t xml:space="preserve"> determination of α-Ψ antibody clones 26H5 and 27C8. (I) </w:t>
      </w:r>
      <w:proofErr w:type="spellStart"/>
      <w:r w:rsidRPr="00B904D3">
        <w:rPr>
          <w:rFonts w:ascii="Times" w:hAnsi="Times" w:cs="Times"/>
          <w:lang w:val="en-US"/>
        </w:rPr>
        <w:t>Scatchard</w:t>
      </w:r>
      <w:proofErr w:type="spellEnd"/>
      <w:r w:rsidRPr="00B904D3">
        <w:rPr>
          <w:rFonts w:ascii="Times" w:hAnsi="Times" w:cs="Times"/>
          <w:lang w:val="en-US"/>
        </w:rPr>
        <w:t xml:space="preserve"> plot and binding model for the m</w:t>
      </w:r>
      <w:r w:rsidRPr="00B904D3">
        <w:rPr>
          <w:rFonts w:ascii="Times" w:hAnsi="Times" w:cs="Times"/>
          <w:vertAlign w:val="subscript"/>
          <w:lang w:val="en-US"/>
        </w:rPr>
        <w:t>2</w:t>
      </w:r>
      <w:r w:rsidRPr="00B904D3">
        <w:rPr>
          <w:rFonts w:ascii="Times" w:hAnsi="Times" w:cs="Times"/>
          <w:vertAlign w:val="superscript"/>
          <w:lang w:val="en-US"/>
        </w:rPr>
        <w:t>6</w:t>
      </w:r>
      <w:r w:rsidRPr="00B904D3">
        <w:rPr>
          <w:rFonts w:ascii="Times" w:hAnsi="Times" w:cs="Times"/>
          <w:lang w:val="en-US"/>
        </w:rPr>
        <w:t>A antibody 60G3.</w:t>
      </w:r>
    </w:p>
    <w:p w14:paraId="3734DAAD" w14:textId="77777777" w:rsidR="00BE6EF2" w:rsidRPr="00B904D3" w:rsidRDefault="00BE6EF2" w:rsidP="00BE6EF2">
      <w:pPr>
        <w:spacing w:line="480" w:lineRule="auto"/>
        <w:jc w:val="both"/>
        <w:rPr>
          <w:rFonts w:ascii="Times" w:hAnsi="Times" w:cs="Times"/>
          <w:lang w:val="en-US"/>
        </w:rPr>
      </w:pPr>
    </w:p>
    <w:p w14:paraId="01B5F4A5" w14:textId="77777777" w:rsidR="00BE6EF2" w:rsidRDefault="00BE6EF2" w:rsidP="00BE6EF2">
      <w:pPr>
        <w:spacing w:line="480" w:lineRule="auto"/>
        <w:jc w:val="both"/>
        <w:rPr>
          <w:rFonts w:ascii="Times" w:eastAsiaTheme="minorEastAsia" w:hAnsi="Times" w:cs="Times"/>
          <w:i/>
          <w:lang w:val="en-US"/>
        </w:rPr>
      </w:pPr>
      <w:r w:rsidRPr="00F656E6">
        <w:rPr>
          <w:rFonts w:ascii="Times" w:eastAsiaTheme="minorEastAsia" w:hAnsi="Times" w:cs="Times"/>
          <w:b/>
          <w:lang w:val="en-US"/>
        </w:rPr>
        <w:t xml:space="preserve">Supplemental Figure 2. </w:t>
      </w:r>
      <w:r w:rsidRPr="00F656E6">
        <w:rPr>
          <w:rFonts w:ascii="Times" w:eastAsiaTheme="minorEastAsia" w:hAnsi="Times" w:cs="Times"/>
          <w:lang w:val="en-US"/>
        </w:rPr>
        <w:t>Estimation of the enrichment via Thin-Layer Chromatography (TLC). (</w:t>
      </w:r>
      <w:r w:rsidRPr="00B904D3">
        <w:rPr>
          <w:rFonts w:ascii="Times" w:eastAsiaTheme="minorEastAsia" w:hAnsi="Times" w:cs="Times"/>
          <w:lang w:val="en-US"/>
        </w:rPr>
        <w:t>A</w:t>
      </w:r>
      <w:r w:rsidRPr="00F656E6">
        <w:rPr>
          <w:rFonts w:ascii="Times" w:eastAsiaTheme="minorEastAsia" w:hAnsi="Times" w:cs="Times"/>
          <w:lang w:val="en-US"/>
        </w:rPr>
        <w:t>) Thin layer chromatography (left panel) and the graphical evaluation (right panel) of m</w:t>
      </w:r>
      <w:r w:rsidRPr="00F656E6">
        <w:rPr>
          <w:rFonts w:ascii="Times" w:eastAsiaTheme="minorEastAsia" w:hAnsi="Times" w:cs="Times"/>
          <w:vertAlign w:val="superscript"/>
          <w:lang w:val="en-US"/>
        </w:rPr>
        <w:t>6</w:t>
      </w:r>
      <w:r w:rsidRPr="00F656E6">
        <w:rPr>
          <w:rFonts w:ascii="Times" w:eastAsiaTheme="minorEastAsia" w:hAnsi="Times" w:cs="Times"/>
          <w:lang w:val="en-US"/>
        </w:rPr>
        <w:t>A IPs and comparison of self-established m</w:t>
      </w:r>
      <w:r w:rsidRPr="00F656E6">
        <w:rPr>
          <w:rFonts w:ascii="Times" w:eastAsiaTheme="minorEastAsia" w:hAnsi="Times" w:cs="Times"/>
          <w:vertAlign w:val="superscript"/>
          <w:lang w:val="en-US"/>
        </w:rPr>
        <w:t>6</w:t>
      </w:r>
      <w:r w:rsidRPr="00F656E6">
        <w:rPr>
          <w:rFonts w:ascii="Times" w:eastAsiaTheme="minorEastAsia" w:hAnsi="Times" w:cs="Times"/>
          <w:lang w:val="en-US"/>
        </w:rPr>
        <w:t>A antibodies (</w:t>
      </w:r>
      <w:r w:rsidRPr="00F656E6">
        <w:rPr>
          <w:rFonts w:ascii="Times" w:hAnsi="Times" w:cs="Times"/>
          <w:lang w:val="en-US"/>
        </w:rPr>
        <w:t>α-m</w:t>
      </w:r>
      <w:r w:rsidRPr="00F656E6">
        <w:rPr>
          <w:rFonts w:ascii="Times" w:hAnsi="Times" w:cs="Times"/>
          <w:vertAlign w:val="superscript"/>
          <w:lang w:val="en-US"/>
        </w:rPr>
        <w:t>6</w:t>
      </w:r>
      <w:r w:rsidRPr="00F656E6">
        <w:rPr>
          <w:rFonts w:ascii="Times" w:hAnsi="Times" w:cs="Times"/>
          <w:lang w:val="en-US"/>
        </w:rPr>
        <w:t>A 11D11, α-m</w:t>
      </w:r>
      <w:r w:rsidRPr="00F656E6">
        <w:rPr>
          <w:rFonts w:ascii="Times" w:hAnsi="Times" w:cs="Times"/>
          <w:vertAlign w:val="superscript"/>
          <w:lang w:val="en-US"/>
        </w:rPr>
        <w:t>6</w:t>
      </w:r>
      <w:r w:rsidRPr="00F656E6">
        <w:rPr>
          <w:rFonts w:ascii="Times" w:hAnsi="Times" w:cs="Times"/>
          <w:lang w:val="en-US"/>
        </w:rPr>
        <w:t>A 13G2 and α-m</w:t>
      </w:r>
      <w:r w:rsidRPr="00F656E6">
        <w:rPr>
          <w:rFonts w:ascii="Times" w:hAnsi="Times" w:cs="Times"/>
          <w:vertAlign w:val="superscript"/>
          <w:lang w:val="en-US"/>
        </w:rPr>
        <w:t>6</w:t>
      </w:r>
      <w:r w:rsidRPr="00F656E6">
        <w:rPr>
          <w:rFonts w:ascii="Times" w:hAnsi="Times" w:cs="Times"/>
          <w:lang w:val="en-US"/>
        </w:rPr>
        <w:t>A 9B7)</w:t>
      </w:r>
      <w:r w:rsidRPr="00F656E6">
        <w:rPr>
          <w:rFonts w:ascii="Times" w:eastAsiaTheme="minorEastAsia" w:hAnsi="Times" w:cs="Times"/>
          <w:lang w:val="en-US"/>
        </w:rPr>
        <w:t xml:space="preserve"> vs. a polyclonal m</w:t>
      </w:r>
      <w:r w:rsidRPr="00F656E6">
        <w:rPr>
          <w:rFonts w:ascii="Times" w:eastAsiaTheme="minorEastAsia" w:hAnsi="Times" w:cs="Times"/>
          <w:vertAlign w:val="superscript"/>
          <w:lang w:val="en-US"/>
        </w:rPr>
        <w:t>6</w:t>
      </w:r>
      <w:r w:rsidRPr="00F656E6">
        <w:rPr>
          <w:rFonts w:ascii="Times" w:eastAsiaTheme="minorEastAsia" w:hAnsi="Times" w:cs="Times"/>
          <w:lang w:val="en-US"/>
        </w:rPr>
        <w:t xml:space="preserve">A-antibody from Synaptic Systems. The commercial antibody and clone 9B7 are shown in </w:t>
      </w:r>
      <w:r>
        <w:rPr>
          <w:rFonts w:ascii="Times" w:eastAsiaTheme="minorEastAsia" w:hAnsi="Times" w:cs="Times"/>
          <w:lang w:val="en-US"/>
        </w:rPr>
        <w:t>F</w:t>
      </w:r>
      <w:r w:rsidRPr="00F656E6">
        <w:rPr>
          <w:rFonts w:ascii="Times" w:eastAsiaTheme="minorEastAsia" w:hAnsi="Times" w:cs="Times"/>
          <w:lang w:val="en-US"/>
        </w:rPr>
        <w:t>igure 4. (B) TLC and evaluation of TLCs using 1 % m</w:t>
      </w:r>
      <w:r w:rsidRPr="00F656E6">
        <w:rPr>
          <w:rFonts w:ascii="Times" w:eastAsiaTheme="minorEastAsia" w:hAnsi="Times" w:cs="Times"/>
          <w:vertAlign w:val="superscript"/>
          <w:lang w:val="en-US"/>
        </w:rPr>
        <w:t>6</w:t>
      </w:r>
      <w:r w:rsidRPr="00F656E6">
        <w:rPr>
          <w:rFonts w:ascii="Times" w:eastAsiaTheme="minorEastAsia" w:hAnsi="Times" w:cs="Times"/>
          <w:lang w:val="en-US"/>
        </w:rPr>
        <w:t xml:space="preserve">ATP for the </w:t>
      </w:r>
      <w:r w:rsidRPr="00F656E6">
        <w:rPr>
          <w:rFonts w:ascii="Times" w:eastAsiaTheme="minorEastAsia" w:hAnsi="Times" w:cs="Times"/>
          <w:i/>
          <w:lang w:val="en-US"/>
        </w:rPr>
        <w:t>in vitro</w:t>
      </w:r>
      <w:r w:rsidRPr="00F656E6">
        <w:rPr>
          <w:rFonts w:ascii="Times" w:eastAsiaTheme="minorEastAsia" w:hAnsi="Times" w:cs="Times"/>
          <w:lang w:val="en-US"/>
        </w:rPr>
        <w:t xml:space="preserve"> transcription (</w:t>
      </w:r>
      <w:proofErr w:type="spellStart"/>
      <w:r w:rsidRPr="00F656E6">
        <w:rPr>
          <w:rFonts w:ascii="Times" w:eastAsiaTheme="minorEastAsia" w:hAnsi="Times" w:cs="Times"/>
          <w:lang w:val="en-US"/>
        </w:rPr>
        <w:t>ivt</w:t>
      </w:r>
      <w:proofErr w:type="spellEnd"/>
      <w:r w:rsidRPr="00F656E6">
        <w:rPr>
          <w:rFonts w:ascii="Times" w:eastAsiaTheme="minorEastAsia" w:hAnsi="Times" w:cs="Times"/>
          <w:lang w:val="en-US"/>
        </w:rPr>
        <w:t>). Experiments were conducted in triplicates. (C) Determination of the enrichment factors of the different antibodies against m</w:t>
      </w:r>
      <w:r w:rsidRPr="00F656E6">
        <w:rPr>
          <w:rFonts w:ascii="Times" w:eastAsiaTheme="minorEastAsia" w:hAnsi="Times" w:cs="Times"/>
          <w:vertAlign w:val="superscript"/>
          <w:lang w:val="en-US"/>
        </w:rPr>
        <w:t>5</w:t>
      </w:r>
      <w:r w:rsidRPr="00F656E6">
        <w:rPr>
          <w:rFonts w:ascii="Times" w:eastAsiaTheme="minorEastAsia" w:hAnsi="Times" w:cs="Times"/>
          <w:lang w:val="en-US"/>
        </w:rPr>
        <w:t>C using 1 % m</w:t>
      </w:r>
      <w:r w:rsidRPr="00F656E6">
        <w:rPr>
          <w:rFonts w:ascii="Times" w:eastAsiaTheme="minorEastAsia" w:hAnsi="Times" w:cs="Times"/>
          <w:vertAlign w:val="superscript"/>
          <w:lang w:val="en-US"/>
        </w:rPr>
        <w:t>5</w:t>
      </w:r>
      <w:r w:rsidRPr="00F656E6">
        <w:rPr>
          <w:rFonts w:ascii="Times" w:eastAsiaTheme="minorEastAsia" w:hAnsi="Times" w:cs="Times"/>
          <w:lang w:val="en-US"/>
        </w:rPr>
        <w:t xml:space="preserve">CTP for </w:t>
      </w:r>
      <w:proofErr w:type="spellStart"/>
      <w:r w:rsidRPr="00F656E6">
        <w:rPr>
          <w:rFonts w:ascii="Times" w:eastAsiaTheme="minorEastAsia" w:hAnsi="Times" w:cs="Times"/>
          <w:lang w:val="en-US"/>
        </w:rPr>
        <w:t>ivt</w:t>
      </w:r>
      <w:proofErr w:type="spellEnd"/>
      <w:r w:rsidRPr="00F656E6">
        <w:rPr>
          <w:rFonts w:ascii="Times" w:eastAsiaTheme="minorEastAsia" w:hAnsi="Times" w:cs="Times"/>
          <w:lang w:val="en-US"/>
        </w:rPr>
        <w:t xml:space="preserve"> and comparison with the commercial monoclonal antibody (33D3, </w:t>
      </w:r>
      <w:proofErr w:type="spellStart"/>
      <w:r w:rsidRPr="00F656E6">
        <w:rPr>
          <w:rFonts w:ascii="Times" w:eastAsiaTheme="minorEastAsia" w:hAnsi="Times" w:cs="Times"/>
          <w:lang w:val="en-US"/>
        </w:rPr>
        <w:t>Diagenode</w:t>
      </w:r>
      <w:proofErr w:type="spellEnd"/>
      <w:r w:rsidRPr="00F656E6">
        <w:rPr>
          <w:rFonts w:ascii="Times" w:eastAsiaTheme="minorEastAsia" w:hAnsi="Times" w:cs="Times"/>
          <w:lang w:val="en-US"/>
        </w:rPr>
        <w:t>). Evaluation based on triplicates of RNA-IP and TLC experiments. (D) TLC of a titration assay using m</w:t>
      </w:r>
      <w:r w:rsidRPr="00F656E6">
        <w:rPr>
          <w:rFonts w:ascii="Times" w:eastAsiaTheme="minorEastAsia" w:hAnsi="Times" w:cs="Times"/>
          <w:vertAlign w:val="superscript"/>
          <w:lang w:val="en-US"/>
        </w:rPr>
        <w:t>5</w:t>
      </w:r>
      <w:r w:rsidRPr="00F656E6">
        <w:rPr>
          <w:rFonts w:ascii="Times" w:eastAsiaTheme="minorEastAsia" w:hAnsi="Times" w:cs="Times"/>
          <w:lang w:val="en-US"/>
        </w:rPr>
        <w:t>C antibody 32E2. The ratio of m</w:t>
      </w:r>
      <w:r w:rsidRPr="00F656E6">
        <w:rPr>
          <w:rFonts w:ascii="Times" w:eastAsiaTheme="minorEastAsia" w:hAnsi="Times" w:cs="Times"/>
          <w:vertAlign w:val="superscript"/>
          <w:lang w:val="en-US"/>
        </w:rPr>
        <w:t>5</w:t>
      </w:r>
      <w:r w:rsidRPr="00F656E6">
        <w:rPr>
          <w:rFonts w:ascii="Times" w:eastAsiaTheme="minorEastAsia" w:hAnsi="Times" w:cs="Times"/>
          <w:lang w:val="en-US"/>
        </w:rPr>
        <w:t xml:space="preserve">C to unmodified C in the </w:t>
      </w:r>
      <w:r w:rsidRPr="00F656E6">
        <w:rPr>
          <w:rFonts w:ascii="Times" w:eastAsiaTheme="minorEastAsia" w:hAnsi="Times" w:cs="Times"/>
          <w:i/>
          <w:lang w:val="en-US"/>
        </w:rPr>
        <w:t>in vitro</w:t>
      </w:r>
      <w:r w:rsidRPr="00F656E6">
        <w:rPr>
          <w:rFonts w:ascii="Times" w:eastAsiaTheme="minorEastAsia" w:hAnsi="Times" w:cs="Times"/>
          <w:lang w:val="en-US"/>
        </w:rPr>
        <w:t xml:space="preserve"> transcription was varied between 10 and 50 %. The RNA was titrated from 2.5 to 16 µg total input for each setup. Below, the evaluation and graphical depiction of the TLCs are shown. (E) Analyses of RNA-IP and TLC experiments conducted with different antibodies against Ψ and determination of the enrichment factors. In the left part, 1 % ΨTP, in the right part, 50 % ΨTP was used for </w:t>
      </w:r>
      <w:proofErr w:type="spellStart"/>
      <w:r w:rsidRPr="00F656E6">
        <w:rPr>
          <w:rFonts w:ascii="Times" w:eastAsiaTheme="minorEastAsia" w:hAnsi="Times" w:cs="Times"/>
          <w:lang w:val="en-US"/>
        </w:rPr>
        <w:t>ivt</w:t>
      </w:r>
      <w:proofErr w:type="spellEnd"/>
      <w:r w:rsidRPr="00F656E6">
        <w:rPr>
          <w:rFonts w:ascii="Times" w:eastAsiaTheme="minorEastAsia" w:hAnsi="Times" w:cs="Times"/>
          <w:i/>
          <w:lang w:val="en-US"/>
        </w:rPr>
        <w:t>.</w:t>
      </w:r>
    </w:p>
    <w:p w14:paraId="3C771098" w14:textId="77777777" w:rsidR="00BE6EF2" w:rsidRPr="00F656E6" w:rsidRDefault="00BE6EF2" w:rsidP="00BE6EF2">
      <w:pPr>
        <w:spacing w:line="480" w:lineRule="auto"/>
        <w:jc w:val="both"/>
        <w:rPr>
          <w:rFonts w:ascii="Times" w:eastAsiaTheme="minorEastAsia" w:hAnsi="Times" w:cs="Times"/>
          <w:lang w:val="en-US"/>
        </w:rPr>
      </w:pPr>
    </w:p>
    <w:p w14:paraId="3EC468F8" w14:textId="77777777" w:rsidR="00BE6EF2" w:rsidRPr="00F656E6" w:rsidRDefault="00BE6EF2" w:rsidP="00BE6EF2">
      <w:pPr>
        <w:spacing w:line="480" w:lineRule="auto"/>
        <w:jc w:val="both"/>
        <w:rPr>
          <w:rFonts w:ascii="Times" w:hAnsi="Times" w:cs="Times"/>
          <w:i/>
          <w:lang w:val="en-US"/>
        </w:rPr>
      </w:pPr>
      <w:r w:rsidRPr="00F656E6">
        <w:rPr>
          <w:rFonts w:ascii="Times" w:eastAsiaTheme="minorEastAsia" w:hAnsi="Times" w:cs="Times"/>
          <w:b/>
          <w:lang w:val="en-US"/>
        </w:rPr>
        <w:lastRenderedPageBreak/>
        <w:t>Supplemental Figure 3.</w:t>
      </w:r>
      <w:r>
        <w:rPr>
          <w:rFonts w:ascii="Times" w:eastAsiaTheme="minorEastAsia" w:hAnsi="Times" w:cs="Times"/>
          <w:b/>
          <w:lang w:val="en-US"/>
        </w:rPr>
        <w:t xml:space="preserve"> </w:t>
      </w:r>
      <w:r w:rsidRPr="00555D36">
        <w:rPr>
          <w:rFonts w:ascii="Times" w:eastAsiaTheme="minorEastAsia" w:hAnsi="Times" w:cs="Times"/>
          <w:lang w:val="en-US"/>
        </w:rPr>
        <w:t>RIP and CLIP experiments using m</w:t>
      </w:r>
      <w:r w:rsidRPr="00555D36">
        <w:rPr>
          <w:rFonts w:ascii="Times" w:eastAsiaTheme="minorEastAsia" w:hAnsi="Times" w:cs="Times"/>
          <w:vertAlign w:val="superscript"/>
          <w:lang w:val="en-US"/>
        </w:rPr>
        <w:t>6</w:t>
      </w:r>
      <w:r w:rsidRPr="00555D36">
        <w:rPr>
          <w:rFonts w:ascii="Times" w:eastAsiaTheme="minorEastAsia" w:hAnsi="Times" w:cs="Times"/>
          <w:lang w:val="en-US"/>
        </w:rPr>
        <w:t>A-specific antibodies.</w:t>
      </w:r>
      <w:r>
        <w:rPr>
          <w:rFonts w:ascii="Times" w:eastAsiaTheme="minorEastAsia" w:hAnsi="Times" w:cs="Times"/>
          <w:b/>
          <w:lang w:val="en-US"/>
        </w:rPr>
        <w:t xml:space="preserve"> (A) </w:t>
      </w:r>
      <w:r w:rsidRPr="00555D36">
        <w:rPr>
          <w:rFonts w:ascii="Times" w:eastAsiaTheme="minorEastAsia" w:hAnsi="Times" w:cs="Times"/>
          <w:lang w:val="en-US"/>
        </w:rPr>
        <w:t>RNA oligonucleotides were incubated with the indicated antibodies and enrichment was calculated as shown in Figure 4B-F. Total RNA from HEK 293</w:t>
      </w:r>
      <w:r>
        <w:rPr>
          <w:rFonts w:ascii="Times" w:eastAsiaTheme="minorEastAsia" w:hAnsi="Times" w:cs="Times"/>
          <w:lang w:val="en-US"/>
        </w:rPr>
        <w:t xml:space="preserve"> </w:t>
      </w:r>
      <w:r w:rsidRPr="00555D36">
        <w:rPr>
          <w:rFonts w:ascii="Times" w:eastAsiaTheme="minorEastAsia" w:hAnsi="Times" w:cs="Times"/>
          <w:lang w:val="en-US"/>
        </w:rPr>
        <w:t>cells was added to simulate a natural RNA environment.</w:t>
      </w:r>
      <w:r>
        <w:rPr>
          <w:rFonts w:ascii="Times" w:eastAsiaTheme="minorEastAsia" w:hAnsi="Times" w:cs="Times"/>
          <w:b/>
          <w:lang w:val="en-US"/>
        </w:rPr>
        <w:t xml:space="preserve"> </w:t>
      </w:r>
      <w:r w:rsidRPr="00555D36">
        <w:rPr>
          <w:rFonts w:ascii="Times" w:eastAsiaTheme="minorEastAsia" w:hAnsi="Times" w:cs="Times"/>
          <w:lang w:val="en-US"/>
        </w:rPr>
        <w:t>(B-D)</w:t>
      </w:r>
      <w:r>
        <w:rPr>
          <w:rFonts w:ascii="Times" w:eastAsiaTheme="minorEastAsia" w:hAnsi="Times" w:cs="Times"/>
          <w:b/>
          <w:lang w:val="en-US"/>
        </w:rPr>
        <w:t xml:space="preserve"> </w:t>
      </w:r>
      <w:r w:rsidRPr="00C51993">
        <w:rPr>
          <w:rFonts w:ascii="Times" w:eastAsiaTheme="minorEastAsia" w:hAnsi="Times" w:cs="Times"/>
          <w:lang w:val="en-US"/>
        </w:rPr>
        <w:t>Comparing m</w:t>
      </w:r>
      <w:r w:rsidRPr="00555D36">
        <w:rPr>
          <w:rFonts w:ascii="Times" w:eastAsiaTheme="minorEastAsia" w:hAnsi="Times" w:cs="Times"/>
          <w:vertAlign w:val="superscript"/>
          <w:lang w:val="en-US"/>
        </w:rPr>
        <w:t>6</w:t>
      </w:r>
      <w:r w:rsidRPr="00C51993">
        <w:rPr>
          <w:rFonts w:ascii="Times" w:eastAsiaTheme="minorEastAsia" w:hAnsi="Times" w:cs="Times"/>
          <w:lang w:val="en-US"/>
        </w:rPr>
        <w:t xml:space="preserve">A-specific antibodies in </w:t>
      </w:r>
      <w:proofErr w:type="spellStart"/>
      <w:r w:rsidRPr="00C51993">
        <w:rPr>
          <w:rFonts w:ascii="Times" w:eastAsiaTheme="minorEastAsia" w:hAnsi="Times" w:cs="Times"/>
          <w:lang w:val="en-US"/>
        </w:rPr>
        <w:t>miCLIP</w:t>
      </w:r>
      <w:proofErr w:type="spellEnd"/>
      <w:r w:rsidRPr="00C51993">
        <w:rPr>
          <w:rFonts w:ascii="Times" w:eastAsiaTheme="minorEastAsia" w:hAnsi="Times" w:cs="Times"/>
          <w:lang w:val="en-US"/>
        </w:rPr>
        <w:t xml:space="preserve"> experiments. Venn diagram showing the overlap of </w:t>
      </w:r>
      <w:r>
        <w:rPr>
          <w:rFonts w:ascii="Times" w:eastAsiaTheme="minorEastAsia" w:hAnsi="Times" w:cs="Times"/>
          <w:lang w:val="en-US"/>
        </w:rPr>
        <w:t>peaks</w:t>
      </w:r>
      <w:r w:rsidRPr="00C51993">
        <w:rPr>
          <w:rFonts w:ascii="Times" w:eastAsiaTheme="minorEastAsia" w:hAnsi="Times" w:cs="Times"/>
          <w:lang w:val="en-US"/>
        </w:rPr>
        <w:t xml:space="preserve"> identified by </w:t>
      </w:r>
      <w:proofErr w:type="spellStart"/>
      <w:r w:rsidRPr="00C51993">
        <w:rPr>
          <w:rFonts w:ascii="Times" w:eastAsiaTheme="minorEastAsia" w:hAnsi="Times" w:cs="Times"/>
          <w:lang w:val="en-US"/>
        </w:rPr>
        <w:t>miCLIP</w:t>
      </w:r>
      <w:proofErr w:type="spellEnd"/>
      <w:r w:rsidRPr="00C51993">
        <w:rPr>
          <w:rFonts w:ascii="Times" w:eastAsiaTheme="minorEastAsia" w:hAnsi="Times" w:cs="Times"/>
          <w:lang w:val="en-US"/>
        </w:rPr>
        <w:t xml:space="preserve"> using the commercial (Abcam) antibody (</w:t>
      </w:r>
      <w:r>
        <w:rPr>
          <w:rFonts w:ascii="Times" w:eastAsiaTheme="minorEastAsia" w:hAnsi="Times" w:cs="Times"/>
          <w:lang w:val="en-US"/>
        </w:rPr>
        <w:t>B</w:t>
      </w:r>
      <w:r w:rsidRPr="00C51993">
        <w:rPr>
          <w:rFonts w:ascii="Times" w:eastAsiaTheme="minorEastAsia" w:hAnsi="Times" w:cs="Times"/>
          <w:lang w:val="en-US"/>
        </w:rPr>
        <w:t xml:space="preserve">) and biotinylated-9B7 or 19B7 monoclonal antibodies. </w:t>
      </w:r>
      <w:r>
        <w:rPr>
          <w:rFonts w:ascii="Times" w:eastAsiaTheme="minorEastAsia" w:hAnsi="Times" w:cs="Times"/>
          <w:lang w:val="en-US"/>
        </w:rPr>
        <w:t xml:space="preserve">(D) </w:t>
      </w:r>
      <w:r w:rsidRPr="00C51993">
        <w:rPr>
          <w:rFonts w:ascii="Times" w:eastAsiaTheme="minorEastAsia" w:hAnsi="Times" w:cs="Times"/>
          <w:lang w:val="en-US"/>
        </w:rPr>
        <w:t>An alignment of corresponding m</w:t>
      </w:r>
      <w:r w:rsidRPr="00555D36">
        <w:rPr>
          <w:rFonts w:ascii="Times" w:eastAsiaTheme="minorEastAsia" w:hAnsi="Times" w:cs="Times"/>
          <w:vertAlign w:val="superscript"/>
          <w:lang w:val="en-US"/>
        </w:rPr>
        <w:t>6</w:t>
      </w:r>
      <w:r w:rsidRPr="00C51993">
        <w:rPr>
          <w:rFonts w:ascii="Times" w:eastAsiaTheme="minorEastAsia" w:hAnsi="Times" w:cs="Times"/>
          <w:lang w:val="en-US"/>
        </w:rPr>
        <w:t>A peaks from different antibodies over the Cdk9 transcript is shown in B.</w:t>
      </w:r>
      <w:r>
        <w:rPr>
          <w:rFonts w:ascii="Times" w:eastAsiaTheme="minorEastAsia" w:hAnsi="Times" w:cs="Times"/>
          <w:lang w:val="en-US"/>
        </w:rPr>
        <w:t xml:space="preserve"> </w:t>
      </w:r>
      <w:r w:rsidRPr="00FD41A8">
        <w:rPr>
          <w:rFonts w:ascii="Times" w:eastAsiaTheme="minorEastAsia" w:hAnsi="Times" w:cs="Times"/>
          <w:lang w:val="en-US"/>
        </w:rPr>
        <w:t xml:space="preserve">Red dots indicate mutation sites on the transcript. C-to-T transition on the motif </w:t>
      </w:r>
      <w:r>
        <w:rPr>
          <w:rFonts w:ascii="Times" w:eastAsiaTheme="minorEastAsia" w:hAnsi="Times" w:cs="Times"/>
          <w:lang w:val="en-US"/>
        </w:rPr>
        <w:t>i</w:t>
      </w:r>
      <w:r w:rsidRPr="00FD41A8">
        <w:rPr>
          <w:rFonts w:ascii="Times" w:eastAsiaTheme="minorEastAsia" w:hAnsi="Times" w:cs="Times"/>
          <w:lang w:val="en-US"/>
        </w:rPr>
        <w:t xml:space="preserve">s shown </w:t>
      </w:r>
      <w:r>
        <w:rPr>
          <w:rFonts w:ascii="Times" w:eastAsiaTheme="minorEastAsia" w:hAnsi="Times" w:cs="Times"/>
          <w:lang w:val="en-US"/>
        </w:rPr>
        <w:t>in</w:t>
      </w:r>
      <w:r w:rsidRPr="00FD41A8">
        <w:rPr>
          <w:rFonts w:ascii="Times" w:eastAsiaTheme="minorEastAsia" w:hAnsi="Times" w:cs="Times"/>
          <w:lang w:val="en-US"/>
        </w:rPr>
        <w:t xml:space="preserve"> red letters.</w:t>
      </w:r>
    </w:p>
    <w:p w14:paraId="0FFBC318" w14:textId="77777777" w:rsidR="00BE6EF2" w:rsidRDefault="00BE6EF2" w:rsidP="00BE6EF2">
      <w:pPr>
        <w:spacing w:line="480" w:lineRule="auto"/>
        <w:jc w:val="both"/>
        <w:rPr>
          <w:rFonts w:ascii="Times" w:eastAsiaTheme="minorEastAsia" w:hAnsi="Times" w:cs="Times"/>
          <w:b/>
          <w:lang w:val="en-US"/>
        </w:rPr>
      </w:pPr>
    </w:p>
    <w:p w14:paraId="487830C2" w14:textId="77777777" w:rsidR="00BE6EF2" w:rsidRPr="00B904D3" w:rsidRDefault="00BE6EF2" w:rsidP="00BE6EF2">
      <w:pPr>
        <w:spacing w:line="480" w:lineRule="auto"/>
        <w:jc w:val="both"/>
        <w:rPr>
          <w:rFonts w:ascii="Times" w:hAnsi="Times" w:cs="Times"/>
          <w:lang w:val="en-US"/>
        </w:rPr>
      </w:pPr>
      <w:r w:rsidRPr="00F656E6">
        <w:rPr>
          <w:rFonts w:ascii="Times" w:eastAsiaTheme="minorEastAsia" w:hAnsi="Times" w:cs="Times"/>
          <w:b/>
          <w:lang w:val="en-US"/>
        </w:rPr>
        <w:t xml:space="preserve">Supplemental Figure 4. </w:t>
      </w:r>
      <w:r w:rsidRPr="00F656E6">
        <w:rPr>
          <w:rFonts w:ascii="Times" w:eastAsiaTheme="minorEastAsia" w:hAnsi="Times" w:cs="Times"/>
          <w:lang w:val="en-US"/>
        </w:rPr>
        <w:t>Immunofluorescences of MTF cells stained with α-m</w:t>
      </w:r>
      <w:r w:rsidRPr="00F656E6">
        <w:rPr>
          <w:rFonts w:ascii="Times" w:eastAsiaTheme="minorEastAsia" w:hAnsi="Times" w:cs="Times"/>
          <w:vertAlign w:val="superscript"/>
          <w:lang w:val="en-US"/>
        </w:rPr>
        <w:t>6</w:t>
      </w:r>
      <w:r w:rsidRPr="00F656E6">
        <w:rPr>
          <w:rFonts w:ascii="Times" w:eastAsiaTheme="minorEastAsia" w:hAnsi="Times" w:cs="Times"/>
          <w:lang w:val="en-US"/>
        </w:rPr>
        <w:t xml:space="preserve">A </w:t>
      </w:r>
      <w:r w:rsidRPr="00B904D3">
        <w:rPr>
          <w:rFonts w:ascii="Times" w:hAnsi="Times" w:cs="Times"/>
          <w:bCs/>
          <w:lang w:val="en-US"/>
        </w:rPr>
        <w:t>antibodies detecting genomic m</w:t>
      </w:r>
      <w:r w:rsidRPr="00B904D3">
        <w:rPr>
          <w:rFonts w:ascii="Times" w:hAnsi="Times" w:cs="Times"/>
          <w:bCs/>
          <w:vertAlign w:val="superscript"/>
          <w:lang w:val="en-US"/>
        </w:rPr>
        <w:t>6</w:t>
      </w:r>
      <w:r w:rsidRPr="00B904D3">
        <w:rPr>
          <w:rFonts w:ascii="Times" w:hAnsi="Times" w:cs="Times"/>
          <w:bCs/>
          <w:lang w:val="en-US"/>
        </w:rPr>
        <w:t>A</w:t>
      </w:r>
      <w:r w:rsidRPr="00B904D3">
        <w:rPr>
          <w:rFonts w:ascii="Times" w:eastAsiaTheme="minorEastAsia" w:hAnsi="Times" w:cs="Times"/>
          <w:lang w:val="en-US"/>
        </w:rPr>
        <w:t xml:space="preserve">. </w:t>
      </w:r>
      <w:r w:rsidRPr="00B904D3">
        <w:rPr>
          <w:rFonts w:ascii="Times" w:hAnsi="Times" w:cs="Times"/>
          <w:lang w:val="en-US"/>
        </w:rPr>
        <w:t xml:space="preserve">(A) Exemplary immunofluorescence images of </w:t>
      </w:r>
      <w:proofErr w:type="spellStart"/>
      <w:r w:rsidRPr="00B904D3">
        <w:rPr>
          <w:rFonts w:ascii="Times" w:hAnsi="Times" w:cs="Times"/>
          <w:lang w:val="en-US"/>
        </w:rPr>
        <w:t>RNaseA</w:t>
      </w:r>
      <w:proofErr w:type="spellEnd"/>
      <w:r w:rsidRPr="00B904D3">
        <w:rPr>
          <w:rFonts w:ascii="Times" w:hAnsi="Times" w:cs="Times"/>
          <w:lang w:val="en-US"/>
        </w:rPr>
        <w:t xml:space="preserve"> treated and non-treated mouse tail fibroblasts (MTFs), stained with the </w:t>
      </w:r>
      <w:r w:rsidRPr="00F656E6">
        <w:rPr>
          <w:rFonts w:ascii="Times" w:hAnsi="Times" w:cs="Times"/>
          <w:lang w:val="en-US"/>
        </w:rPr>
        <w:t>α</w:t>
      </w:r>
      <w:r w:rsidRPr="00B904D3">
        <w:rPr>
          <w:rFonts w:ascii="Times" w:hAnsi="Times" w:cs="Times"/>
          <w:lang w:val="en-US"/>
        </w:rPr>
        <w:t>-m</w:t>
      </w:r>
      <w:r w:rsidRPr="00B904D3">
        <w:rPr>
          <w:rFonts w:ascii="Times" w:hAnsi="Times" w:cs="Times"/>
          <w:vertAlign w:val="superscript"/>
          <w:lang w:val="en-US"/>
        </w:rPr>
        <w:t>6</w:t>
      </w:r>
      <w:r w:rsidRPr="00B904D3">
        <w:rPr>
          <w:rFonts w:ascii="Times" w:hAnsi="Times" w:cs="Times"/>
          <w:lang w:val="en-US"/>
        </w:rPr>
        <w:t xml:space="preserve">A antibody 19B7 diluted 1:250. An Alexa Fluor 488 conjugated secondary antibody was used to visualize the primary antibody. DNA was stained with DAPI (scalebar, 10 µm). (B) Boxplots showing the normalized mean nuclear Alexa Fluor 488 intensities in MTF cells treated with or without </w:t>
      </w:r>
      <w:proofErr w:type="spellStart"/>
      <w:r w:rsidRPr="00B904D3">
        <w:rPr>
          <w:rFonts w:ascii="Times" w:hAnsi="Times" w:cs="Times"/>
          <w:lang w:val="en-US"/>
        </w:rPr>
        <w:t>RNaseA</w:t>
      </w:r>
      <w:proofErr w:type="spellEnd"/>
      <w:r w:rsidRPr="00B904D3">
        <w:rPr>
          <w:rFonts w:ascii="Times" w:hAnsi="Times" w:cs="Times"/>
          <w:lang w:val="en-US"/>
        </w:rPr>
        <w:t>. Nuclear levels were normalized against cells stained without any primary antibody (“2° only”). The outcome for the three tested antibody dilutions, 1:100, 1:250, 1:500, is shown (n &gt; 15000). The dashed line indicates the median of “2</w:t>
      </w:r>
      <w:r w:rsidRPr="00B904D3">
        <w:rPr>
          <w:rFonts w:ascii="Times" w:hAnsi="Times" w:cs="Times"/>
          <w:vertAlign w:val="superscript"/>
          <w:lang w:val="en-US"/>
        </w:rPr>
        <w:t>nd</w:t>
      </w:r>
      <w:r w:rsidRPr="00B904D3">
        <w:rPr>
          <w:rFonts w:ascii="Times" w:hAnsi="Times" w:cs="Times"/>
          <w:lang w:val="en-US"/>
        </w:rPr>
        <w:t xml:space="preserve"> only” cells. (C) Boxplot showing the mean nuclear levels of propidium iodide in cells treated with or without </w:t>
      </w:r>
      <w:proofErr w:type="spellStart"/>
      <w:r w:rsidRPr="00B904D3">
        <w:rPr>
          <w:rFonts w:ascii="Times" w:hAnsi="Times" w:cs="Times"/>
          <w:lang w:val="en-US"/>
        </w:rPr>
        <w:t>RNaseA</w:t>
      </w:r>
      <w:proofErr w:type="spellEnd"/>
      <w:r w:rsidRPr="00B904D3">
        <w:rPr>
          <w:rFonts w:ascii="Times" w:hAnsi="Times" w:cs="Times"/>
          <w:lang w:val="en-US"/>
        </w:rPr>
        <w:t xml:space="preserve"> (n &gt; 60000). Significance was tested with student’s t-test. (D) Boxplot showing the mean nuclear levels of propidium iodide in cells treated with or without </w:t>
      </w:r>
      <w:proofErr w:type="spellStart"/>
      <w:r w:rsidRPr="00B904D3">
        <w:rPr>
          <w:rFonts w:ascii="Times" w:hAnsi="Times" w:cs="Times"/>
          <w:lang w:val="en-US"/>
        </w:rPr>
        <w:t>RNaseA</w:t>
      </w:r>
      <w:proofErr w:type="spellEnd"/>
      <w:r w:rsidRPr="00B904D3">
        <w:rPr>
          <w:rFonts w:ascii="Times" w:hAnsi="Times" w:cs="Times"/>
          <w:lang w:val="en-US"/>
        </w:rPr>
        <w:t xml:space="preserve"> (n &gt; 60000) of the cells, shown in </w:t>
      </w:r>
      <w:r>
        <w:rPr>
          <w:rFonts w:ascii="Times" w:hAnsi="Times" w:cs="Times"/>
          <w:lang w:val="en-US"/>
        </w:rPr>
        <w:t>F</w:t>
      </w:r>
      <w:r w:rsidRPr="00B904D3">
        <w:rPr>
          <w:rFonts w:ascii="Times" w:hAnsi="Times" w:cs="Times"/>
          <w:lang w:val="en-US"/>
        </w:rPr>
        <w:t xml:space="preserve">igure </w:t>
      </w:r>
      <w:r>
        <w:rPr>
          <w:rFonts w:ascii="Times" w:hAnsi="Times" w:cs="Times"/>
          <w:lang w:val="en-US"/>
        </w:rPr>
        <w:t>6</w:t>
      </w:r>
      <w:r w:rsidRPr="00B904D3">
        <w:rPr>
          <w:rFonts w:ascii="Times" w:hAnsi="Times" w:cs="Times"/>
          <w:lang w:val="en-US"/>
        </w:rPr>
        <w:t>F.</w:t>
      </w:r>
    </w:p>
    <w:p w14:paraId="07A1B246" w14:textId="77777777" w:rsidR="00C328BF" w:rsidRDefault="00C328BF"/>
    <w:sectPr w:rsidR="00C328BF" w:rsidSect="00E806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2EFF" w:usb1="D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EF2"/>
    <w:rsid w:val="00BE6EF2"/>
    <w:rsid w:val="00C328BF"/>
    <w:rsid w:val="00E80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F53E21"/>
  <w15:chartTrackingRefBased/>
  <w15:docId w15:val="{1DAD943B-6A9B-134D-B02D-6B93C8C39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EF2"/>
    <w:rPr>
      <w:rFonts w:ascii="Times New Roman" w:eastAsia="Times New Roman" w:hAnsi="Times New Roman" w:cs="Times New Roman"/>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2020-07-07T17:05:00Z</dcterms:created>
  <dcterms:modified xsi:type="dcterms:W3CDTF">2020-07-07T17:06:00Z</dcterms:modified>
</cp:coreProperties>
</file>