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1FC9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Information</w:t>
      </w:r>
    </w:p>
    <w:p w14:paraId="49CE4C58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A539C38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Figure S1: Principle Component Analysis demonstrates that cell types cluster together with each dataset analyzed (related to Figure 2)</w:t>
      </w:r>
      <w:r w:rsidRPr="00587A4C">
        <w:rPr>
          <w:rFonts w:ascii="Arial" w:hAnsi="Arial" w:cs="Arial"/>
          <w:color w:val="000000" w:themeColor="text1"/>
        </w:rPr>
        <w:t xml:space="preserve">.  Principle Component Analysis (PCA) was run on the gene expression values, derived as described in Figure 1c, from RNA-Seq data obtained from 11 distinct studies.  Individual samples within each dataset are plotted according to their values of the top two components (PC1, PC2) and colored by T cell subtype.  Plots for each dataset are in the same order as in Figure 1A: (a) </w:t>
      </w:r>
      <w:r w:rsidRPr="00587A4C">
        <w:rPr>
          <w:rFonts w:ascii="Arial" w:hAnsi="Arial" w:cs="Arial"/>
          <w:bCs/>
          <w:color w:val="000000" w:themeColor="text1"/>
        </w:rPr>
        <w:t>Ab (ref), (b) Mo (ref), (c) Ra (ref), (d) Bl (this study), (e) He (ref), (f) Lo (ref), (g) Re (ref), (h) Si (ref), (</w:t>
      </w:r>
      <w:proofErr w:type="spellStart"/>
      <w:r w:rsidRPr="00587A4C">
        <w:rPr>
          <w:rFonts w:ascii="Arial" w:hAnsi="Arial" w:cs="Arial"/>
          <w:bCs/>
          <w:color w:val="000000" w:themeColor="text1"/>
        </w:rPr>
        <w:t>i</w:t>
      </w:r>
      <w:proofErr w:type="spellEnd"/>
      <w:r w:rsidRPr="00587A4C">
        <w:rPr>
          <w:rFonts w:ascii="Arial" w:hAnsi="Arial" w:cs="Arial"/>
          <w:bCs/>
          <w:color w:val="000000" w:themeColor="text1"/>
        </w:rPr>
        <w:t xml:space="preserve">) </w:t>
      </w:r>
      <w:proofErr w:type="spellStart"/>
      <w:r w:rsidRPr="00587A4C">
        <w:rPr>
          <w:rFonts w:ascii="Arial" w:hAnsi="Arial" w:cs="Arial"/>
          <w:bCs/>
          <w:color w:val="000000" w:themeColor="text1"/>
        </w:rPr>
        <w:t>Hn</w:t>
      </w:r>
      <w:proofErr w:type="spellEnd"/>
      <w:r w:rsidRPr="00587A4C">
        <w:rPr>
          <w:rFonts w:ascii="Arial" w:hAnsi="Arial" w:cs="Arial"/>
          <w:bCs/>
          <w:color w:val="000000" w:themeColor="text1"/>
        </w:rPr>
        <w:t xml:space="preserve"> (ref), (j) Ka (ref), (k) Tu (ref).</w:t>
      </w:r>
    </w:p>
    <w:p w14:paraId="449CD86D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</w:p>
    <w:p w14:paraId="50279D65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color w:val="000000" w:themeColor="text1"/>
        </w:rPr>
        <w:t>Supplemental Figure S2: Expression of T subtype-associated cytokine genes across samples analyzed in this study (related to Figure 4).</w:t>
      </w:r>
      <w:r w:rsidRPr="00587A4C">
        <w:rPr>
          <w:rFonts w:ascii="Arial" w:hAnsi="Arial" w:cs="Arial"/>
          <w:bCs/>
          <w:color w:val="000000" w:themeColor="text1"/>
        </w:rPr>
        <w:t xml:space="preserve">  </w:t>
      </w:r>
      <w:r w:rsidRPr="00587A4C">
        <w:rPr>
          <w:rFonts w:ascii="Arial" w:hAnsi="Arial" w:cs="Arial"/>
          <w:color w:val="000000" w:themeColor="text1"/>
        </w:rPr>
        <w:t xml:space="preserve">Reliably expressed T Helper genes, ranked by number of supporting datasets and log2FC differences as in Figure 4. Leftmost segment indicates whether a given core T Helper gene was reliably more highly expressed in a given subset over others. All differential expression analyses were performed between samples from the same dataset. The datasets with </w:t>
      </w:r>
      <w:proofErr w:type="spellStart"/>
      <w:r w:rsidRPr="00587A4C">
        <w:rPr>
          <w:rFonts w:ascii="Arial" w:hAnsi="Arial" w:cs="Arial"/>
          <w:color w:val="000000" w:themeColor="text1"/>
        </w:rPr>
        <w:t>Treg</w:t>
      </w:r>
      <w:proofErr w:type="spellEnd"/>
      <w:r w:rsidRPr="00587A4C">
        <w:rPr>
          <w:rFonts w:ascii="Arial" w:hAnsi="Arial" w:cs="Arial"/>
          <w:color w:val="000000" w:themeColor="text1"/>
        </w:rPr>
        <w:t xml:space="preserve"> samples lacked Th0 samples, so there is no “enriched in </w:t>
      </w:r>
      <w:proofErr w:type="spellStart"/>
      <w:r w:rsidRPr="00587A4C">
        <w:rPr>
          <w:rFonts w:ascii="Arial" w:hAnsi="Arial" w:cs="Arial"/>
          <w:color w:val="000000" w:themeColor="text1"/>
        </w:rPr>
        <w:t>Treg</w:t>
      </w:r>
      <w:proofErr w:type="spellEnd"/>
      <w:r w:rsidRPr="00587A4C">
        <w:rPr>
          <w:rFonts w:ascii="Arial" w:hAnsi="Arial" w:cs="Arial"/>
          <w:color w:val="000000" w:themeColor="text1"/>
        </w:rPr>
        <w:t xml:space="preserve"> vs Th0” column. Some T Helper subsets share reliably expressed genes, as indicated by black boxes in multiple columns across a single row. The heatmap shows inverse hyperbolic sine (</w:t>
      </w:r>
      <w:proofErr w:type="spellStart"/>
      <w:r w:rsidRPr="00587A4C">
        <w:rPr>
          <w:rFonts w:ascii="Arial" w:hAnsi="Arial" w:cs="Arial"/>
          <w:color w:val="000000" w:themeColor="text1"/>
        </w:rPr>
        <w:t>asinh</w:t>
      </w:r>
      <w:proofErr w:type="spellEnd"/>
      <w:r w:rsidRPr="00587A4C">
        <w:rPr>
          <w:rFonts w:ascii="Arial" w:hAnsi="Arial" w:cs="Arial"/>
          <w:color w:val="000000" w:themeColor="text1"/>
        </w:rPr>
        <w:t>)-transformed TPMs. Each column is a sample, and samples are grouped by cell type and author. Gene names are on the right.  Arrow denotes cut-off of top 20 genes shown in Figure 4.</w:t>
      </w:r>
    </w:p>
    <w:p w14:paraId="1ACE16B1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</w:p>
    <w:p w14:paraId="6F494676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  <w:r w:rsidRPr="00587A4C">
        <w:rPr>
          <w:rFonts w:ascii="Arial" w:hAnsi="Arial" w:cs="Arial"/>
          <w:b/>
          <w:color w:val="000000" w:themeColor="text1"/>
        </w:rPr>
        <w:t xml:space="preserve">Supplemental Figure S3:  Correlation of expression of master regulator genes with other genes consistently enriched in the subtype (related to Figure 4).  </w:t>
      </w:r>
      <w:r w:rsidRPr="00587A4C">
        <w:rPr>
          <w:rFonts w:ascii="Arial" w:hAnsi="Arial" w:cs="Arial"/>
          <w:bCs/>
          <w:color w:val="000000" w:themeColor="text1"/>
        </w:rPr>
        <w:t>Gene expression was correlated in a pairwise fashion between master regulator (top of column) and individual subtype-biased genes.  Colors indicate the correlation value as indicated in key.</w:t>
      </w:r>
    </w:p>
    <w:p w14:paraId="6921059D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</w:p>
    <w:p w14:paraId="32E155D7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587A4C">
        <w:rPr>
          <w:rFonts w:ascii="Arial" w:hAnsi="Arial" w:cs="Arial"/>
          <w:b/>
          <w:color w:val="000000" w:themeColor="text1"/>
        </w:rPr>
        <w:t>Supplemental Figure S4: RIN values for in house CD4+ T cell RNA-Seq</w:t>
      </w:r>
    </w:p>
    <w:p w14:paraId="09A6F1F9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Cs/>
          <w:color w:val="000000" w:themeColor="text1"/>
        </w:rPr>
      </w:pPr>
    </w:p>
    <w:p w14:paraId="649DA144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Table S1: (Related to Figure 1) RNA-Sequencing technical specifications.</w:t>
      </w:r>
    </w:p>
    <w:p w14:paraId="0E40964E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5ED2F7B0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Table S2: (Related to Figure 1) Purification methods for cell populations used in this study</w:t>
      </w:r>
    </w:p>
    <w:p w14:paraId="5E751478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C9F3142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Table S3: (related to Figure 4</w:t>
      </w:r>
      <w:proofErr w:type="gramStart"/>
      <w:r w:rsidRPr="00587A4C">
        <w:rPr>
          <w:rFonts w:ascii="Arial" w:hAnsi="Arial" w:cs="Arial"/>
          <w:b/>
          <w:bCs/>
          <w:color w:val="000000" w:themeColor="text1"/>
        </w:rPr>
        <w:t>)  Genes</w:t>
      </w:r>
      <w:proofErr w:type="gramEnd"/>
      <w:r w:rsidRPr="00587A4C">
        <w:rPr>
          <w:rFonts w:ascii="Arial" w:hAnsi="Arial" w:cs="Arial"/>
          <w:b/>
          <w:bCs/>
          <w:color w:val="000000" w:themeColor="text1"/>
        </w:rPr>
        <w:t xml:space="preserve"> consistently expressed in each T cell subset</w:t>
      </w:r>
    </w:p>
    <w:p w14:paraId="12319FE0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4CF0143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7A4C">
        <w:rPr>
          <w:rFonts w:ascii="Arial" w:hAnsi="Arial" w:cs="Arial"/>
          <w:b/>
          <w:bCs/>
          <w:color w:val="000000" w:themeColor="text1"/>
        </w:rPr>
        <w:t>Supplemental Table S4: (related to Figure 5) Genes exhibiting consistent alternative splicing patterns in each T cell subset</w:t>
      </w:r>
    </w:p>
    <w:p w14:paraId="6470133F" w14:textId="77777777" w:rsidR="008A6450" w:rsidRPr="00587A4C" w:rsidRDefault="008A6450" w:rsidP="008A6450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8B33D1" w14:textId="77777777" w:rsidR="00431D1E" w:rsidRDefault="00431D1E"/>
    <w:sectPr w:rsidR="00431D1E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50"/>
    <w:rsid w:val="00431D1E"/>
    <w:rsid w:val="008A6450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8DDDD"/>
  <w15:chartTrackingRefBased/>
  <w15:docId w15:val="{0247AEBB-D28C-824C-96A5-D93D9452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2020-06-17T17:36:00Z</dcterms:created>
  <dcterms:modified xsi:type="dcterms:W3CDTF">2020-06-17T17:37:00Z</dcterms:modified>
</cp:coreProperties>
</file>