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AB5511" w:rsidRDefault="00F32F53" w:rsidP="00F32F53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>
            <wp:extent cx="3714356" cy="4886916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 SX Paco.jpg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012" cy="490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511" w:rsidRDefault="00AB5511" w:rsidP="00AB5511">
      <w:pPr>
        <w:tabs>
          <w:tab w:val="left" w:pos="284"/>
        </w:tabs>
        <w:spacing w:line="480" w:lineRule="auto"/>
        <w:contextualSpacing/>
        <w:jc w:val="right"/>
        <w:rPr>
          <w:rFonts w:ascii="Helvetica" w:hAnsi="Helvetica"/>
          <w:color w:val="000000" w:themeColor="text1"/>
          <w:sz w:val="18"/>
          <w:szCs w:val="18"/>
          <w:lang w:eastAsia="es-ES"/>
        </w:rPr>
      </w:pPr>
      <w:r w:rsidRPr="00AB5511">
        <w:rPr>
          <w:rFonts w:ascii="Helvetica" w:hAnsi="Helvetica"/>
          <w:color w:val="000000" w:themeColor="text1"/>
          <w:sz w:val="18"/>
          <w:szCs w:val="18"/>
          <w:lang w:eastAsia="es-ES"/>
        </w:rPr>
        <w:t>Figure S2</w:t>
      </w:r>
    </w:p>
    <w:p w:rsidR="00270CC4" w:rsidRPr="00C106E6" w:rsidRDefault="00270CC4" w:rsidP="00270CC4">
      <w:pPr>
        <w:tabs>
          <w:tab w:val="left" w:pos="284"/>
        </w:tabs>
        <w:autoSpaceDE w:val="0"/>
        <w:autoSpaceDN w:val="0"/>
        <w:adjustRightInd w:val="0"/>
        <w:spacing w:line="480" w:lineRule="auto"/>
        <w:contextualSpacing/>
        <w:jc w:val="both"/>
        <w:rPr>
          <w:lang w:val="en-GB"/>
        </w:rPr>
      </w:pPr>
      <w:r w:rsidRPr="00C106E6">
        <w:rPr>
          <w:rFonts w:eastAsia="Calibri"/>
          <w:b/>
          <w:lang w:eastAsia="en-US"/>
        </w:rPr>
        <w:lastRenderedPageBreak/>
        <w:t xml:space="preserve">Figure S2. </w:t>
      </w:r>
      <w:r w:rsidRPr="00C106E6">
        <w:rPr>
          <w:b/>
          <w:lang w:val="en-GB"/>
        </w:rPr>
        <w:t>Pre-</w:t>
      </w:r>
      <w:proofErr w:type="spellStart"/>
      <w:r w:rsidRPr="00C106E6">
        <w:rPr>
          <w:b/>
          <w:lang w:val="en-GB"/>
        </w:rPr>
        <w:t>rRNA</w:t>
      </w:r>
      <w:proofErr w:type="spellEnd"/>
      <w:r w:rsidRPr="00C106E6">
        <w:rPr>
          <w:b/>
          <w:lang w:val="en-GB"/>
        </w:rPr>
        <w:t xml:space="preserve"> processing in </w:t>
      </w:r>
      <w:r w:rsidRPr="00C106E6">
        <w:rPr>
          <w:b/>
          <w:i/>
          <w:lang w:val="en-GB"/>
        </w:rPr>
        <w:t>S. cerevisiae</w:t>
      </w:r>
      <w:r w:rsidRPr="00C106E6">
        <w:rPr>
          <w:b/>
          <w:lang w:val="en-GB"/>
        </w:rPr>
        <w:t>.</w:t>
      </w:r>
      <w:r w:rsidRPr="00C106E6">
        <w:rPr>
          <w:lang w:val="en-GB"/>
        </w:rPr>
        <w:t xml:space="preserve"> (</w:t>
      </w:r>
      <w:r w:rsidRPr="00C106E6">
        <w:rPr>
          <w:b/>
          <w:lang w:val="en-GB"/>
        </w:rPr>
        <w:t>A</w:t>
      </w:r>
      <w:r w:rsidRPr="00C106E6">
        <w:rPr>
          <w:lang w:val="en-GB"/>
        </w:rPr>
        <w:t xml:space="preserve">) Structure of an rDNA repeat unit. Each unit contains two independently transcribed elements, the long one is transcribed by RNA polymerase I (RNA pol I) into a </w:t>
      </w:r>
      <w:proofErr w:type="spellStart"/>
      <w:r w:rsidRPr="00C106E6">
        <w:rPr>
          <w:lang w:val="en-GB"/>
        </w:rPr>
        <w:t>polycistronic</w:t>
      </w:r>
      <w:proofErr w:type="spellEnd"/>
      <w:r w:rsidRPr="00C106E6">
        <w:rPr>
          <w:lang w:val="en-GB"/>
        </w:rPr>
        <w:t xml:space="preserve"> pre-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 encoding the 18S, 5.8S and 25S </w:t>
      </w:r>
      <w:proofErr w:type="spellStart"/>
      <w:r w:rsidRPr="00C106E6">
        <w:rPr>
          <w:lang w:val="en-GB"/>
        </w:rPr>
        <w:t>rRNAs</w:t>
      </w:r>
      <w:proofErr w:type="spellEnd"/>
      <w:r w:rsidRPr="00C106E6">
        <w:rPr>
          <w:lang w:val="en-GB"/>
        </w:rPr>
        <w:t xml:space="preserve"> and the short one is transcribed by RNA polymerase III (RNA pol III) into a pre-5S 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. Non-transcribed, external and internal spacers (NTSs, ETSs and ITSs) </w:t>
      </w:r>
      <w:proofErr w:type="gramStart"/>
      <w:r w:rsidRPr="00C106E6">
        <w:rPr>
          <w:lang w:val="en-GB"/>
        </w:rPr>
        <w:t>are indicated</w:t>
      </w:r>
      <w:proofErr w:type="gramEnd"/>
      <w:r w:rsidRPr="00C106E6">
        <w:rPr>
          <w:lang w:val="en-GB"/>
        </w:rPr>
        <w:t xml:space="preserve">. The mature 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 species </w:t>
      </w:r>
      <w:proofErr w:type="gramStart"/>
      <w:r w:rsidRPr="00C106E6">
        <w:rPr>
          <w:lang w:val="en-GB"/>
        </w:rPr>
        <w:t>are shown</w:t>
      </w:r>
      <w:proofErr w:type="gramEnd"/>
      <w:r w:rsidRPr="00C106E6">
        <w:rPr>
          <w:lang w:val="en-GB"/>
        </w:rPr>
        <w:t xml:space="preserve"> as bars and the spacers as lines. </w:t>
      </w:r>
      <w:proofErr w:type="gramStart"/>
      <w:r w:rsidRPr="00C106E6">
        <w:rPr>
          <w:lang w:val="en-GB"/>
        </w:rPr>
        <w:t>The transcription start sites are highlighted by red arrows</w:t>
      </w:r>
      <w:proofErr w:type="gramEnd"/>
      <w:r w:rsidRPr="00C106E6">
        <w:rPr>
          <w:lang w:val="en-GB"/>
        </w:rPr>
        <w:t xml:space="preserve">. The processing sites and the location of the hybridization probes, listed in Table S2, </w:t>
      </w:r>
      <w:proofErr w:type="gramStart"/>
      <w:r w:rsidRPr="00C106E6">
        <w:rPr>
          <w:lang w:val="en-GB"/>
        </w:rPr>
        <w:t>are shown</w:t>
      </w:r>
      <w:proofErr w:type="gramEnd"/>
      <w:r w:rsidRPr="00C106E6">
        <w:rPr>
          <w:lang w:val="en-GB"/>
        </w:rPr>
        <w:t>. (</w:t>
      </w:r>
      <w:r w:rsidRPr="00C106E6">
        <w:rPr>
          <w:b/>
          <w:bCs/>
          <w:lang w:val="en-GB"/>
        </w:rPr>
        <w:t>B</w:t>
      </w:r>
      <w:r w:rsidRPr="00C106E6">
        <w:rPr>
          <w:lang w:val="en-GB"/>
        </w:rPr>
        <w:t>) Scheme of the pre-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 processing pathway. The RNA pol I transcript can undergo either post- or co-transcriptional processing, leading to the generation of the 20S and 27SA</w:t>
      </w:r>
      <w:r w:rsidRPr="00C106E6">
        <w:rPr>
          <w:vertAlign w:val="subscript"/>
          <w:lang w:val="en-GB"/>
        </w:rPr>
        <w:t>2</w:t>
      </w:r>
      <w:r w:rsidRPr="00C106E6">
        <w:rPr>
          <w:position w:val="-2"/>
          <w:lang w:val="en-GB"/>
        </w:rPr>
        <w:t xml:space="preserve"> </w:t>
      </w:r>
      <w:r w:rsidRPr="00C106E6">
        <w:rPr>
          <w:lang w:val="en-GB"/>
        </w:rPr>
        <w:t>pre-</w:t>
      </w:r>
      <w:proofErr w:type="spellStart"/>
      <w:r w:rsidRPr="00C106E6">
        <w:rPr>
          <w:lang w:val="en-GB"/>
        </w:rPr>
        <w:t>rRNAs</w:t>
      </w:r>
      <w:proofErr w:type="spellEnd"/>
      <w:r w:rsidRPr="00C106E6">
        <w:rPr>
          <w:lang w:val="en-GB"/>
        </w:rPr>
        <w:t>, which are components of early pre-40S and pre-60S ribosomal particles, respectively. These pre-</w:t>
      </w:r>
      <w:proofErr w:type="spellStart"/>
      <w:r w:rsidRPr="00C106E6">
        <w:rPr>
          <w:lang w:val="en-GB"/>
        </w:rPr>
        <w:t>rRNAs</w:t>
      </w:r>
      <w:proofErr w:type="spellEnd"/>
      <w:r w:rsidRPr="00C106E6">
        <w:rPr>
          <w:lang w:val="en-GB"/>
        </w:rPr>
        <w:t xml:space="preserve"> </w:t>
      </w:r>
      <w:proofErr w:type="gramStart"/>
      <w:r w:rsidRPr="00C106E6">
        <w:rPr>
          <w:lang w:val="en-GB"/>
        </w:rPr>
        <w:t>are then further processed</w:t>
      </w:r>
      <w:proofErr w:type="gramEnd"/>
      <w:r w:rsidRPr="00C106E6">
        <w:rPr>
          <w:lang w:val="en-GB"/>
        </w:rPr>
        <w:t xml:space="preserve"> into the mature 18S and 5.8S and 25S </w:t>
      </w:r>
      <w:proofErr w:type="spellStart"/>
      <w:r w:rsidRPr="00C106E6">
        <w:rPr>
          <w:lang w:val="en-GB"/>
        </w:rPr>
        <w:t>rRNAs</w:t>
      </w:r>
      <w:proofErr w:type="spellEnd"/>
      <w:r w:rsidRPr="00C106E6">
        <w:rPr>
          <w:lang w:val="en-GB"/>
        </w:rPr>
        <w:t xml:space="preserve">. The flanking 5S 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 </w:t>
      </w:r>
      <w:proofErr w:type="gramStart"/>
      <w:r w:rsidRPr="00C106E6">
        <w:rPr>
          <w:lang w:val="en-GB"/>
        </w:rPr>
        <w:t>is transcribed</w:t>
      </w:r>
      <w:proofErr w:type="gramEnd"/>
      <w:r w:rsidRPr="00C106E6">
        <w:rPr>
          <w:lang w:val="en-GB"/>
        </w:rPr>
        <w:t xml:space="preserve"> by RNA pol III in the opposite direction as a pre-5S 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. All cleavages and trimming reactions </w:t>
      </w:r>
      <w:proofErr w:type="gramStart"/>
      <w:r w:rsidRPr="00C106E6">
        <w:rPr>
          <w:lang w:val="en-GB"/>
        </w:rPr>
        <w:t>are indicated</w:t>
      </w:r>
      <w:proofErr w:type="gramEnd"/>
      <w:r w:rsidRPr="00C106E6">
        <w:rPr>
          <w:lang w:val="en-GB"/>
        </w:rPr>
        <w:t xml:space="preserve">. This figure has been adapted from that shown in </w:t>
      </w:r>
      <w:proofErr w:type="spellStart"/>
      <w:r w:rsidRPr="00C106E6">
        <w:rPr>
          <w:lang w:val="en-GB"/>
        </w:rPr>
        <w:t>García</w:t>
      </w:r>
      <w:proofErr w:type="spellEnd"/>
      <w:r w:rsidRPr="00C106E6">
        <w:rPr>
          <w:lang w:val="en-GB"/>
        </w:rPr>
        <w:t xml:space="preserve">-Gómez </w:t>
      </w:r>
      <w:r w:rsidRPr="00C106E6">
        <w:rPr>
          <w:i/>
          <w:iCs/>
          <w:lang w:val="en-GB"/>
        </w:rPr>
        <w:t xml:space="preserve">et al. </w:t>
      </w:r>
      <w:r w:rsidRPr="00C106E6">
        <w:rPr>
          <w:iCs/>
          <w:noProof/>
          <w:lang w:val="en-GB"/>
        </w:rPr>
        <w:t>(García-Gómez et al. 2014)</w:t>
      </w:r>
      <w:r w:rsidRPr="00C106E6">
        <w:rPr>
          <w:iCs/>
          <w:lang w:val="en-GB"/>
        </w:rPr>
        <w:t>.</w:t>
      </w:r>
      <w:r w:rsidRPr="00C106E6">
        <w:rPr>
          <w:i/>
          <w:iCs/>
          <w:lang w:val="en-GB"/>
        </w:rPr>
        <w:t xml:space="preserve"> </w:t>
      </w:r>
      <w:r w:rsidRPr="00C106E6">
        <w:rPr>
          <w:lang w:val="en-GB"/>
        </w:rPr>
        <w:t>For further description of the yeast pre-</w:t>
      </w:r>
      <w:proofErr w:type="spellStart"/>
      <w:r w:rsidRPr="00C106E6">
        <w:rPr>
          <w:lang w:val="en-GB"/>
        </w:rPr>
        <w:t>rRNA</w:t>
      </w:r>
      <w:proofErr w:type="spellEnd"/>
      <w:r w:rsidRPr="00C106E6">
        <w:rPr>
          <w:lang w:val="en-GB"/>
        </w:rPr>
        <w:t xml:space="preserve"> processing pathway, see </w:t>
      </w:r>
      <w:r w:rsidRPr="00C106E6">
        <w:rPr>
          <w:noProof/>
          <w:lang w:val="en-GB"/>
        </w:rPr>
        <w:t>(Fernández-Pevida et al. 2015; Henras et al. 2015)</w:t>
      </w:r>
      <w:r w:rsidRPr="00C106E6">
        <w:rPr>
          <w:lang w:val="en-GB"/>
        </w:rPr>
        <w:t>.</w:t>
      </w:r>
      <w:bookmarkStart w:id="0" w:name="_GoBack"/>
      <w:bookmarkEnd w:id="0"/>
    </w:p>
    <w:sectPr w:rsidR="00270CC4" w:rsidRPr="00C106E6" w:rsidSect="00270CC4">
      <w:pgSz w:w="16820" w:h="11900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70CC4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CA09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2020-06-01T08:03:00Z</dcterms:created>
  <dcterms:modified xsi:type="dcterms:W3CDTF">2020-06-01T08:03:00Z</dcterms:modified>
</cp:coreProperties>
</file>