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08BDD5" w14:textId="1C881823" w:rsidR="00E13ADA" w:rsidRDefault="00391BB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0048" behindDoc="0" locked="0" layoutInCell="1" allowOverlap="1" wp14:anchorId="23872285" wp14:editId="44585F18">
                <wp:simplePos x="0" y="0"/>
                <wp:positionH relativeFrom="column">
                  <wp:posOffset>104775</wp:posOffset>
                </wp:positionH>
                <wp:positionV relativeFrom="paragraph">
                  <wp:posOffset>0</wp:posOffset>
                </wp:positionV>
                <wp:extent cx="34290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57F2CF" w14:textId="182B30CE" w:rsidR="00391BB1" w:rsidRPr="00391BB1" w:rsidRDefault="00391BB1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391BB1">
                              <w:rPr>
                                <w:b/>
                                <w:sz w:val="36"/>
                                <w:szCs w:val="36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387228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25pt;margin-top:0;width:27pt;height:110.6pt;z-index:2516500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" stroked="f">
                <v:textbox style="mso-fit-shape-to-text:t">
                  <w:txbxContent>
                    <w:p w14:paraId="4457F2CF" w14:textId="182B30CE" w:rsidR="00391BB1" w:rsidRPr="00391BB1" w:rsidRDefault="00391BB1">
                      <w:pPr>
                        <w:rPr>
                          <w:b/>
                          <w:sz w:val="36"/>
                          <w:szCs w:val="36"/>
                        </w:rPr>
                      </w:pPr>
                      <w:r w:rsidRPr="00391BB1">
                        <w:rPr>
                          <w:b/>
                          <w:sz w:val="36"/>
                          <w:szCs w:val="36"/>
                        </w:rPr>
                        <w:t>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48000" behindDoc="0" locked="0" layoutInCell="1" allowOverlap="1" wp14:anchorId="2D507197" wp14:editId="0D44E693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800725" cy="2082800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0725" cy="2082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E86D38" w14:textId="027DC1B3" w:rsidR="00391BB1" w:rsidRDefault="00391BB1" w:rsidP="00391BB1">
      <w:pPr>
        <w:tabs>
          <w:tab w:val="left" w:pos="2250"/>
        </w:tabs>
      </w:pPr>
      <w:r w:rsidRPr="00391BB1">
        <w:t xml:space="preserve">Figure </w:t>
      </w:r>
      <w:r>
        <w:t>S1</w:t>
      </w:r>
      <w:r w:rsidRPr="00391BB1">
        <w:t>: Determination of Large</w:t>
      </w:r>
      <w:r>
        <w:t>-</w:t>
      </w:r>
      <w:r w:rsidRPr="00391BB1">
        <w:t>Scale Parameters</w:t>
      </w:r>
      <w:r w:rsidR="008B54C0">
        <w:t>.</w:t>
      </w:r>
    </w:p>
    <w:p w14:paraId="1ABB6A9F" w14:textId="6A3E05B1" w:rsidR="00391BB1" w:rsidRDefault="00391BB1" w:rsidP="00391BB1">
      <w:pPr>
        <w:tabs>
          <w:tab w:val="left" w:pos="2250"/>
        </w:tabs>
      </w:pPr>
      <w:r>
        <w:t xml:space="preserve">A) </w:t>
      </w:r>
      <w:r w:rsidRPr="00391BB1">
        <w:t>Based on several preliminary small</w:t>
      </w:r>
      <w:r>
        <w:t>-</w:t>
      </w:r>
      <w:r w:rsidRPr="00391BB1">
        <w:t xml:space="preserve">scale experiments, the average c-Myc copy number per cell and c-Myc capture efficiency was determined. </w:t>
      </w:r>
      <w:r w:rsidR="008B54C0">
        <w:t>Along</w:t>
      </w:r>
      <w:r w:rsidRPr="00391BB1">
        <w:t xml:space="preserve"> with knowledge of the mass spectrometer detection limit for complex biological samples, </w:t>
      </w:r>
      <w:r w:rsidR="008B54C0">
        <w:t xml:space="preserve">these values </w:t>
      </w:r>
      <w:r w:rsidRPr="00391BB1">
        <w:t>were used to calculate</w:t>
      </w:r>
      <w:r w:rsidR="008B54C0">
        <w:t xml:space="preserve"> important parameters for each large-scale experiment. Specifically, we calculated</w:t>
      </w:r>
      <w:r w:rsidRPr="00391BB1">
        <w:t xml:space="preserve"> the number of cells to use and the minimum capture efficiency that would be necessary with that number of cells to get reliable mass spectrometry results for protein interactors. </w:t>
      </w:r>
    </w:p>
    <w:p w14:paraId="16A78A11" w14:textId="4ACC48C8" w:rsidR="00391BB1" w:rsidRDefault="00391BB1" w:rsidP="00391BB1">
      <w:pPr>
        <w:tabs>
          <w:tab w:val="left" w:pos="2250"/>
        </w:tabs>
      </w:pPr>
    </w:p>
    <w:p w14:paraId="1A110BA8" w14:textId="77777777" w:rsidR="00391BB1" w:rsidRDefault="00391BB1" w:rsidP="00391BB1">
      <w:pPr>
        <w:tabs>
          <w:tab w:val="left" w:pos="2250"/>
        </w:tabs>
      </w:pPr>
    </w:p>
    <w:p w14:paraId="04BC5EDA" w14:textId="35F89565" w:rsidR="00391BB1" w:rsidRPr="00391BB1" w:rsidRDefault="00391BB1" w:rsidP="00391BB1">
      <w:pPr>
        <w:tabs>
          <w:tab w:val="left" w:pos="2250"/>
        </w:tabs>
      </w:pPr>
    </w:p>
    <w:p w14:paraId="5D7A0652" w14:textId="00FD0171" w:rsidR="00391BB1" w:rsidRDefault="00B85AD9" w:rsidP="00391BB1">
      <w:pPr>
        <w:tabs>
          <w:tab w:val="left" w:pos="2250"/>
        </w:tabs>
      </w:pPr>
      <w:r>
        <w:rPr>
          <w:noProof/>
        </w:rPr>
        <w:lastRenderedPageBreak/>
        <w:drawing>
          <wp:anchor distT="0" distB="0" distL="114300" distR="114300" simplePos="0" relativeHeight="251678720" behindDoc="0" locked="0" layoutInCell="1" allowOverlap="1" wp14:anchorId="6F7E5ECC" wp14:editId="5D724295">
            <wp:simplePos x="0" y="0"/>
            <wp:positionH relativeFrom="column">
              <wp:posOffset>685800</wp:posOffset>
            </wp:positionH>
            <wp:positionV relativeFrom="paragraph">
              <wp:posOffset>104775</wp:posOffset>
            </wp:positionV>
            <wp:extent cx="4238625" cy="3574415"/>
            <wp:effectExtent l="0" t="0" r="9525" b="6985"/>
            <wp:wrapSquare wrapText="bothSides"/>
            <wp:docPr id="1357" name="Picture 13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625" cy="3574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1BB1">
        <w:rPr>
          <w:noProof/>
        </w:rPr>
        <w:drawing>
          <wp:anchor distT="0" distB="0" distL="114300" distR="114300" simplePos="0" relativeHeight="251652096" behindDoc="0" locked="0" layoutInCell="1" allowOverlap="1" wp14:anchorId="66634BA5" wp14:editId="198B2414">
            <wp:simplePos x="0" y="0"/>
            <wp:positionH relativeFrom="column">
              <wp:posOffset>1000125</wp:posOffset>
            </wp:positionH>
            <wp:positionV relativeFrom="paragraph">
              <wp:posOffset>3905250</wp:posOffset>
            </wp:positionV>
            <wp:extent cx="4038600" cy="3494405"/>
            <wp:effectExtent l="0" t="0" r="0" b="0"/>
            <wp:wrapSquare wrapText="bothSides"/>
            <wp:docPr id="706" name="Picture 7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3494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1BB1">
        <w:rPr>
          <w:noProof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60121A75" wp14:editId="03F23306">
                <wp:simplePos x="0" y="0"/>
                <wp:positionH relativeFrom="column">
                  <wp:posOffset>247650</wp:posOffset>
                </wp:positionH>
                <wp:positionV relativeFrom="paragraph">
                  <wp:posOffset>3848735</wp:posOffset>
                </wp:positionV>
                <wp:extent cx="342900" cy="1404620"/>
                <wp:effectExtent l="0" t="0" r="0" b="0"/>
                <wp:wrapSquare wrapText="bothSides"/>
                <wp:docPr id="7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BE6C71" w14:textId="79D81501" w:rsidR="00391BB1" w:rsidRPr="00391BB1" w:rsidRDefault="00391BB1" w:rsidP="00391BB1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0121A75" id="_x0000_s1027" type="#_x0000_t202" style="position:absolute;margin-left:19.5pt;margin-top:303.05pt;width:27pt;height:110.6pt;z-index:2516561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" stroked="f">
                <v:textbox style="mso-fit-shape-to-text:t">
                  <w:txbxContent>
                    <w:p w14:paraId="39BE6C71" w14:textId="79D81501" w:rsidR="00391BB1" w:rsidRPr="00391BB1" w:rsidRDefault="00391BB1" w:rsidP="00391BB1">
                      <w:pPr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>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91BB1">
        <w:rPr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1A9599C7" wp14:editId="7D9C16D6">
                <wp:simplePos x="0" y="0"/>
                <wp:positionH relativeFrom="column">
                  <wp:posOffset>161925</wp:posOffset>
                </wp:positionH>
                <wp:positionV relativeFrom="paragraph">
                  <wp:posOffset>0</wp:posOffset>
                </wp:positionV>
                <wp:extent cx="342900" cy="1404620"/>
                <wp:effectExtent l="0" t="0" r="0" b="0"/>
                <wp:wrapSquare wrapText="bothSides"/>
                <wp:docPr id="7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8CE7BF" w14:textId="77777777" w:rsidR="00391BB1" w:rsidRPr="00391BB1" w:rsidRDefault="00391BB1" w:rsidP="00391BB1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391BB1">
                              <w:rPr>
                                <w:b/>
                                <w:sz w:val="36"/>
                                <w:szCs w:val="36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A9599C7" id="_x0000_s1028" type="#_x0000_t202" style="position:absolute;margin-left:12.75pt;margin-top:0;width:27pt;height:110.6pt;z-index:2516541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" stroked="f">
                <v:textbox style="mso-fit-shape-to-text:t">
                  <w:txbxContent>
                    <w:p w14:paraId="768CE7BF" w14:textId="77777777" w:rsidR="00391BB1" w:rsidRPr="00391BB1" w:rsidRDefault="00391BB1" w:rsidP="00391BB1">
                      <w:pPr>
                        <w:rPr>
                          <w:b/>
                          <w:sz w:val="36"/>
                          <w:szCs w:val="36"/>
                        </w:rPr>
                      </w:pPr>
                      <w:r w:rsidRPr="00391BB1">
                        <w:rPr>
                          <w:b/>
                          <w:sz w:val="36"/>
                          <w:szCs w:val="36"/>
                        </w:rPr>
                        <w:t>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1305F6A" w14:textId="57036C67" w:rsidR="00391BB1" w:rsidRPr="00391BB1" w:rsidRDefault="00391BB1" w:rsidP="00391BB1"/>
    <w:p w14:paraId="4CDCD520" w14:textId="1F93DBB6" w:rsidR="00391BB1" w:rsidRPr="00391BB1" w:rsidRDefault="00391BB1" w:rsidP="00391BB1"/>
    <w:p w14:paraId="5D6D4C1B" w14:textId="1B26AAA1" w:rsidR="00391BB1" w:rsidRPr="00391BB1" w:rsidRDefault="00391BB1" w:rsidP="00391BB1"/>
    <w:p w14:paraId="3621A1B7" w14:textId="431D3E50" w:rsidR="00391BB1" w:rsidRPr="00391BB1" w:rsidRDefault="00391BB1" w:rsidP="00391BB1"/>
    <w:p w14:paraId="62E21ACF" w14:textId="3E030B0F" w:rsidR="00391BB1" w:rsidRPr="00391BB1" w:rsidRDefault="00391BB1" w:rsidP="00391BB1"/>
    <w:p w14:paraId="76B65CF0" w14:textId="4D184784" w:rsidR="00391BB1" w:rsidRPr="00391BB1" w:rsidRDefault="00391BB1" w:rsidP="00391BB1"/>
    <w:p w14:paraId="377C752F" w14:textId="3CA86AEF" w:rsidR="00391BB1" w:rsidRPr="00391BB1" w:rsidRDefault="00391BB1" w:rsidP="00391BB1"/>
    <w:p w14:paraId="241B2B04" w14:textId="669DEF84" w:rsidR="00391BB1" w:rsidRPr="00391BB1" w:rsidRDefault="00391BB1" w:rsidP="00391BB1"/>
    <w:p w14:paraId="69ED06C1" w14:textId="2D6CBD11" w:rsidR="00391BB1" w:rsidRPr="00391BB1" w:rsidRDefault="00391BB1" w:rsidP="00391BB1"/>
    <w:p w14:paraId="51E9A95E" w14:textId="0C136673" w:rsidR="00391BB1" w:rsidRPr="00391BB1" w:rsidRDefault="00391BB1" w:rsidP="00391BB1"/>
    <w:p w14:paraId="5F4E0173" w14:textId="07AA79FF" w:rsidR="00391BB1" w:rsidRPr="00391BB1" w:rsidRDefault="00391BB1" w:rsidP="00391BB1"/>
    <w:p w14:paraId="15EF8BCA" w14:textId="21D2813A" w:rsidR="00391BB1" w:rsidRPr="00391BB1" w:rsidRDefault="00391BB1" w:rsidP="00391BB1"/>
    <w:p w14:paraId="23B4546E" w14:textId="009F4E9A" w:rsidR="00391BB1" w:rsidRPr="00391BB1" w:rsidRDefault="00391BB1" w:rsidP="00391BB1"/>
    <w:p w14:paraId="23849C3F" w14:textId="316AD66F" w:rsidR="00391BB1" w:rsidRPr="00391BB1" w:rsidRDefault="00391BB1" w:rsidP="00391BB1"/>
    <w:p w14:paraId="6AB126FB" w14:textId="2931500A" w:rsidR="00391BB1" w:rsidRPr="00391BB1" w:rsidRDefault="00391BB1" w:rsidP="00391BB1"/>
    <w:p w14:paraId="63D855D7" w14:textId="7D61FA82" w:rsidR="00391BB1" w:rsidRPr="00391BB1" w:rsidRDefault="00391BB1" w:rsidP="00391BB1"/>
    <w:p w14:paraId="32D45286" w14:textId="166EBDEB" w:rsidR="00391BB1" w:rsidRPr="00391BB1" w:rsidRDefault="00391BB1" w:rsidP="00391BB1"/>
    <w:p w14:paraId="31788EAE" w14:textId="7906666D" w:rsidR="00391BB1" w:rsidRPr="00391BB1" w:rsidRDefault="00391BB1" w:rsidP="00391BB1"/>
    <w:p w14:paraId="05944CCD" w14:textId="255308D9" w:rsidR="00391BB1" w:rsidRPr="00391BB1" w:rsidRDefault="00391BB1" w:rsidP="00391BB1"/>
    <w:p w14:paraId="7D874565" w14:textId="497E285B" w:rsidR="00391BB1" w:rsidRPr="00391BB1" w:rsidRDefault="00391BB1" w:rsidP="00391BB1"/>
    <w:p w14:paraId="07DEFDDC" w14:textId="10BD8963" w:rsidR="00391BB1" w:rsidRPr="00391BB1" w:rsidRDefault="00391BB1" w:rsidP="00391BB1"/>
    <w:p w14:paraId="524C51BD" w14:textId="54E89108" w:rsidR="00391BB1" w:rsidRPr="00391BB1" w:rsidRDefault="00391BB1" w:rsidP="00391BB1"/>
    <w:p w14:paraId="7910C3C8" w14:textId="1333D4BB" w:rsidR="00391BB1" w:rsidRPr="00391BB1" w:rsidRDefault="00391BB1" w:rsidP="00391BB1"/>
    <w:p w14:paraId="4674D430" w14:textId="0AFD0F81" w:rsidR="00391BB1" w:rsidRPr="00391BB1" w:rsidRDefault="00391BB1" w:rsidP="00391BB1"/>
    <w:p w14:paraId="29488814" w14:textId="5E99344A" w:rsidR="00391BB1" w:rsidRPr="00391BB1" w:rsidRDefault="00391BB1" w:rsidP="00391BB1"/>
    <w:p w14:paraId="3677F099" w14:textId="3255DEC5" w:rsidR="00391BB1" w:rsidRDefault="00391BB1" w:rsidP="00391BB1"/>
    <w:p w14:paraId="1937078E" w14:textId="77777777" w:rsidR="00A5067E" w:rsidRDefault="00A5067E" w:rsidP="00391BB1">
      <w:pPr>
        <w:tabs>
          <w:tab w:val="left" w:pos="2520"/>
        </w:tabs>
      </w:pPr>
    </w:p>
    <w:p w14:paraId="2753A220" w14:textId="77777777" w:rsidR="00A5067E" w:rsidRDefault="00A5067E" w:rsidP="00391BB1">
      <w:pPr>
        <w:tabs>
          <w:tab w:val="left" w:pos="2520"/>
        </w:tabs>
      </w:pPr>
    </w:p>
    <w:p w14:paraId="5077043F" w14:textId="4989640D" w:rsidR="00391BB1" w:rsidRDefault="00391BB1" w:rsidP="00391BB1">
      <w:pPr>
        <w:tabs>
          <w:tab w:val="left" w:pos="2520"/>
        </w:tabs>
      </w:pPr>
      <w:r w:rsidRPr="00391BB1">
        <w:lastRenderedPageBreak/>
        <w:t xml:space="preserve">Figure </w:t>
      </w:r>
      <w:r w:rsidR="00A5067E">
        <w:t>S2</w:t>
      </w:r>
      <w:r w:rsidRPr="00391BB1">
        <w:t xml:space="preserve">: </w:t>
      </w:r>
      <w:proofErr w:type="spellStart"/>
      <w:r w:rsidRPr="00391BB1">
        <w:t>HyPR</w:t>
      </w:r>
      <w:proofErr w:type="spellEnd"/>
      <w:r w:rsidRPr="00391BB1">
        <w:t>-MS Method</w:t>
      </w:r>
      <w:r w:rsidR="008B54C0">
        <w:t>.</w:t>
      </w:r>
    </w:p>
    <w:p w14:paraId="7CE4EF8C" w14:textId="36D0104E" w:rsidR="00430DE3" w:rsidRDefault="00391BB1" w:rsidP="00391BB1">
      <w:pPr>
        <w:tabs>
          <w:tab w:val="left" w:pos="2520"/>
        </w:tabs>
      </w:pPr>
      <w:r>
        <w:t xml:space="preserve">A) </w:t>
      </w:r>
      <w:r w:rsidRPr="00391BB1">
        <w:t xml:space="preserve">HyPR-MS combines targeted capture of multiple RNA targets with sequential release to allow for multiple interactomes to be analyzed within a single lysate sample. </w:t>
      </w:r>
      <w:r w:rsidR="008B54C0">
        <w:t>B</w:t>
      </w:r>
      <w:r w:rsidRPr="00391BB1">
        <w:t xml:space="preserve">iotinylated capture oligonucleotides </w:t>
      </w:r>
      <w:r>
        <w:t xml:space="preserve">(COs) </w:t>
      </w:r>
      <w:r w:rsidRPr="00391BB1">
        <w:t xml:space="preserve">complementary to </w:t>
      </w:r>
      <w:proofErr w:type="gramStart"/>
      <w:r w:rsidRPr="00391BB1">
        <w:t>a number of</w:t>
      </w:r>
      <w:proofErr w:type="gramEnd"/>
      <w:r w:rsidRPr="00391BB1">
        <w:t xml:space="preserve"> desired RNA sequences are added to </w:t>
      </w:r>
      <w:r>
        <w:t>formaldehyde-</w:t>
      </w:r>
      <w:r w:rsidRPr="00391BB1">
        <w:t xml:space="preserve">crosslinked cell lysate and hybridize to the targets. </w:t>
      </w:r>
      <w:r>
        <w:t>Streptavidin-coated m</w:t>
      </w:r>
      <w:r w:rsidRPr="00391BB1">
        <w:t xml:space="preserve">agnetic beads bind to the biotin modifications on the </w:t>
      </w:r>
      <w:r>
        <w:t>CO</w:t>
      </w:r>
      <w:r w:rsidRPr="00391BB1">
        <w:t xml:space="preserve">s, pulling them, the RNA targets, and the crosslinked proteins out of solution. </w:t>
      </w:r>
      <w:r>
        <w:t>Excess unwanted cellular material is removed, and the bead complexes are resuspended in solution containing a</w:t>
      </w:r>
      <w:r w:rsidRPr="00391BB1">
        <w:t xml:space="preserve"> release oligonucleotide</w:t>
      </w:r>
      <w:r>
        <w:t xml:space="preserve"> (RO)</w:t>
      </w:r>
      <w:r w:rsidRPr="00391BB1">
        <w:t xml:space="preserve"> that is complementary to the full length of</w:t>
      </w:r>
      <w:r>
        <w:t xml:space="preserve"> one</w:t>
      </w:r>
      <w:r w:rsidRPr="00391BB1">
        <w:t xml:space="preserve"> </w:t>
      </w:r>
      <w:r>
        <w:t xml:space="preserve">CO. </w:t>
      </w:r>
      <w:r w:rsidRPr="00391BB1">
        <w:t xml:space="preserve"> </w:t>
      </w:r>
      <w:r>
        <w:t xml:space="preserve">This </w:t>
      </w:r>
      <w:r w:rsidRPr="00391BB1">
        <w:t xml:space="preserve">displaces </w:t>
      </w:r>
      <w:r>
        <w:t>one</w:t>
      </w:r>
      <w:r w:rsidRPr="00391BB1">
        <w:t xml:space="preserve"> RNA target, releasing it into solution to be collected. This sequential release can be performed for several RNA targets.</w:t>
      </w:r>
      <w:r>
        <w:t xml:space="preserve"> The isolated release solutions are then prepared for mass spectrometry analysis</w:t>
      </w:r>
      <w:r w:rsidR="00A5067E">
        <w:t>.</w:t>
      </w:r>
      <w:r>
        <w:t xml:space="preserve"> </w:t>
      </w:r>
    </w:p>
    <w:p w14:paraId="4B35F9A0" w14:textId="7C30F2F1" w:rsidR="00391BB1" w:rsidRPr="00391BB1" w:rsidRDefault="00391BB1" w:rsidP="00391BB1">
      <w:pPr>
        <w:tabs>
          <w:tab w:val="left" w:pos="2520"/>
        </w:tabs>
      </w:pPr>
      <w:r>
        <w:t xml:space="preserve">B) </w:t>
      </w:r>
      <w:r w:rsidRPr="00391BB1">
        <w:t xml:space="preserve">The </w:t>
      </w:r>
      <w:r w:rsidR="00A5067E">
        <w:t>release strategy of HyPR-MS is dependent on a toehold-mediated capture. COs are complementary to 25-30 nucleotides (</w:t>
      </w:r>
      <w:proofErr w:type="spellStart"/>
      <w:r w:rsidR="00A5067E">
        <w:t>nt</w:t>
      </w:r>
      <w:proofErr w:type="spellEnd"/>
      <w:r w:rsidR="00A5067E">
        <w:t xml:space="preserve">) of the target RNA but also contain an 8 </w:t>
      </w:r>
      <w:proofErr w:type="spellStart"/>
      <w:r w:rsidR="00A5067E">
        <w:t>nt</w:t>
      </w:r>
      <w:proofErr w:type="spellEnd"/>
      <w:r w:rsidR="00A5067E">
        <w:t xml:space="preserve"> toehold sequence that does not hybridize to the target. ROs are designed to be complementary to the entire CO sequence (including the toehold), giving RO-CO hybridization </w:t>
      </w:r>
      <w:r w:rsidRPr="00391BB1">
        <w:t>higher thermodynamic stability</w:t>
      </w:r>
      <w:r w:rsidR="00A5067E">
        <w:t xml:space="preserve"> and thus releasing the RNA target into solution.</w:t>
      </w:r>
      <w:r w:rsidRPr="00391BB1">
        <w:t xml:space="preserve"> </w:t>
      </w:r>
    </w:p>
    <w:p w14:paraId="23500675" w14:textId="6E089800" w:rsidR="00391BB1" w:rsidRDefault="00C96715" w:rsidP="00391BB1">
      <w:pPr>
        <w:tabs>
          <w:tab w:val="left" w:pos="2520"/>
        </w:tabs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0391DCA4" wp14:editId="0E66A609">
            <wp:simplePos x="0" y="0"/>
            <wp:positionH relativeFrom="column">
              <wp:posOffset>29845</wp:posOffset>
            </wp:positionH>
            <wp:positionV relativeFrom="paragraph">
              <wp:posOffset>374015</wp:posOffset>
            </wp:positionV>
            <wp:extent cx="5926455" cy="2072640"/>
            <wp:effectExtent l="0" t="0" r="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6455" cy="2072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BD84B7" w14:textId="77777777" w:rsidR="00A944E8" w:rsidRDefault="00A944E8" w:rsidP="00391BB1">
      <w:pPr>
        <w:tabs>
          <w:tab w:val="left" w:pos="2520"/>
        </w:tabs>
      </w:pPr>
    </w:p>
    <w:p w14:paraId="771B8806" w14:textId="1C9EBA99" w:rsidR="00183991" w:rsidRDefault="00C96715" w:rsidP="00391BB1">
      <w:pPr>
        <w:tabs>
          <w:tab w:val="left" w:pos="2520"/>
        </w:tabs>
      </w:pPr>
      <w:r>
        <w:t xml:space="preserve">Figure S3: </w:t>
      </w:r>
      <w:r w:rsidR="00183991">
        <w:t>Measures of HyPR-MS Small-Scale Efficacy</w:t>
      </w:r>
      <w:r w:rsidR="008B54C0">
        <w:t>.</w:t>
      </w:r>
    </w:p>
    <w:p w14:paraId="315617A3" w14:textId="23CEBF4E" w:rsidR="00C96715" w:rsidRDefault="00183991" w:rsidP="00183991">
      <w:pPr>
        <w:tabs>
          <w:tab w:val="left" w:pos="2520"/>
        </w:tabs>
      </w:pPr>
      <w:r>
        <w:t>A</w:t>
      </w:r>
      <w:r w:rsidR="00EF5239">
        <w:t>-C</w:t>
      </w:r>
      <w:r>
        <w:t xml:space="preserve">) </w:t>
      </w:r>
      <w:r w:rsidR="006E5016">
        <w:t>Small-scale experiments were performed</w:t>
      </w:r>
      <w:r w:rsidR="00D472AA">
        <w:t xml:space="preserve"> to determine the best </w:t>
      </w:r>
      <w:r w:rsidR="00B27983">
        <w:t>se</w:t>
      </w:r>
      <w:r w:rsidR="002B7D69">
        <w:t>quences and concentrations for COs, ROs, and beads</w:t>
      </w:r>
      <w:r w:rsidR="00EF5239">
        <w:t xml:space="preserve">. The </w:t>
      </w:r>
      <w:r w:rsidR="00061213">
        <w:t xml:space="preserve">conditions </w:t>
      </w:r>
      <w:r w:rsidR="00A13D3A">
        <w:t>yielding</w:t>
      </w:r>
      <w:r w:rsidR="00061213">
        <w:t xml:space="preserve"> the best combination of capture efficiency, specificity, and </w:t>
      </w:r>
      <w:r w:rsidR="008E1EA2">
        <w:t xml:space="preserve">percent release, shown above, were </w:t>
      </w:r>
      <w:r w:rsidR="004B1724">
        <w:t xml:space="preserve">scaled up to perform </w:t>
      </w:r>
      <w:r w:rsidR="00FD39D8">
        <w:t xml:space="preserve">large-scale experiments. </w:t>
      </w:r>
    </w:p>
    <w:p w14:paraId="2A4AF44C" w14:textId="481A518B" w:rsidR="001A55FF" w:rsidRDefault="00A944E8" w:rsidP="00183991">
      <w:pPr>
        <w:tabs>
          <w:tab w:val="left" w:pos="2520"/>
        </w:tabs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5343C708" wp14:editId="5E2AF430">
            <wp:simplePos x="0" y="0"/>
            <wp:positionH relativeFrom="column">
              <wp:posOffset>167640</wp:posOffset>
            </wp:positionH>
            <wp:positionV relativeFrom="paragraph">
              <wp:posOffset>167640</wp:posOffset>
            </wp:positionV>
            <wp:extent cx="2301240" cy="2406650"/>
            <wp:effectExtent l="0" t="0" r="0" b="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1240" cy="2406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3AE8D1" w14:textId="1D0244A3" w:rsidR="008A7BF4" w:rsidRPr="008A7BF4" w:rsidRDefault="008A7BF4" w:rsidP="008A7BF4"/>
    <w:p w14:paraId="7B0FE938" w14:textId="2C72F88A" w:rsidR="008A7BF4" w:rsidRPr="008A7BF4" w:rsidRDefault="008A7BF4" w:rsidP="008A7BF4"/>
    <w:p w14:paraId="51B58EE3" w14:textId="5F41E5B1" w:rsidR="008A7BF4" w:rsidRPr="008A7BF4" w:rsidRDefault="008A7BF4" w:rsidP="008A7BF4"/>
    <w:p w14:paraId="159AAD4F" w14:textId="7EB7ABA5" w:rsidR="008A7BF4" w:rsidRPr="008A7BF4" w:rsidRDefault="008A7BF4" w:rsidP="008A7BF4"/>
    <w:p w14:paraId="555947DA" w14:textId="41B10895" w:rsidR="008A7BF4" w:rsidRPr="008A7BF4" w:rsidRDefault="008A7BF4" w:rsidP="008A7BF4"/>
    <w:p w14:paraId="226BD459" w14:textId="26CA32F7" w:rsidR="008A7BF4" w:rsidRPr="008A7BF4" w:rsidRDefault="008A7BF4" w:rsidP="008A7BF4"/>
    <w:p w14:paraId="2212CE1F" w14:textId="55E05336" w:rsidR="008A7BF4" w:rsidRPr="008A7BF4" w:rsidRDefault="008A7BF4" w:rsidP="008A7BF4"/>
    <w:p w14:paraId="5817FD90" w14:textId="3341ADAA" w:rsidR="008A7BF4" w:rsidRPr="008A7BF4" w:rsidRDefault="008A7BF4" w:rsidP="008A7BF4"/>
    <w:p w14:paraId="3A66F839" w14:textId="293F09C7" w:rsidR="008A7BF4" w:rsidRDefault="008A7BF4" w:rsidP="008A7BF4"/>
    <w:p w14:paraId="06457D52" w14:textId="1D13D352" w:rsidR="008A7BF4" w:rsidRDefault="008A7BF4" w:rsidP="009F4730">
      <w:r>
        <w:t xml:space="preserve">Figure </w:t>
      </w:r>
      <w:r w:rsidR="005C59AD">
        <w:t>S4: Additional Measures of HyPR-MS Specificity</w:t>
      </w:r>
      <w:r w:rsidR="008B54C0">
        <w:t>.</w:t>
      </w:r>
    </w:p>
    <w:p w14:paraId="43D30C48" w14:textId="670E420C" w:rsidR="009F4730" w:rsidRDefault="009F4730" w:rsidP="00243D0B">
      <w:pPr>
        <w:tabs>
          <w:tab w:val="center" w:pos="4680"/>
        </w:tabs>
      </w:pPr>
      <w:r>
        <w:t xml:space="preserve">A) In addition to capture specificity, the </w:t>
      </w:r>
      <w:r w:rsidR="00243D0B">
        <w:t xml:space="preserve">fold enrichment of c-Myc mRNA over GAPDH was determined. To do this, </w:t>
      </w:r>
      <w:r w:rsidR="008E3941">
        <w:t xml:space="preserve">the ratio of target-to-GAPDH in the captured sample was compared to the ratio of target-to-GAPDH in the lysate via RT-qPCR analysis. </w:t>
      </w:r>
      <w:r w:rsidR="008B54C0">
        <w:t>The f</w:t>
      </w:r>
      <w:r w:rsidR="008E3941">
        <w:t>old enrichment of c-Myc was approximately 4,000-fold for each</w:t>
      </w:r>
      <w:r w:rsidR="00415809">
        <w:t xml:space="preserve"> end of the c-Myc transcript</w:t>
      </w:r>
      <w:r w:rsidR="008E3941">
        <w:t>.</w:t>
      </w:r>
      <w:r w:rsidR="003236F7">
        <w:t xml:space="preserve"> </w:t>
      </w:r>
    </w:p>
    <w:p w14:paraId="5291F1D0" w14:textId="0C3A1861" w:rsidR="005D0681" w:rsidRDefault="005D0681" w:rsidP="00243D0B">
      <w:pPr>
        <w:tabs>
          <w:tab w:val="center" w:pos="4680"/>
        </w:tabs>
      </w:pPr>
    </w:p>
    <w:p w14:paraId="6EE37AC6" w14:textId="77777777" w:rsidR="0073577D" w:rsidRDefault="0073577D" w:rsidP="00243D0B">
      <w:pPr>
        <w:tabs>
          <w:tab w:val="center" w:pos="4680"/>
        </w:tabs>
      </w:pPr>
    </w:p>
    <w:p w14:paraId="6A93F6B1" w14:textId="77777777" w:rsidR="001B7C8C" w:rsidRDefault="001B7C8C" w:rsidP="00243D0B">
      <w:pPr>
        <w:tabs>
          <w:tab w:val="center" w:pos="4680"/>
        </w:tabs>
      </w:pPr>
    </w:p>
    <w:p w14:paraId="1F1093D8" w14:textId="565109FF" w:rsidR="00D14BFB" w:rsidRDefault="00DF3EA1" w:rsidP="00FC6D8E">
      <w:pPr>
        <w:tabs>
          <w:tab w:val="center" w:pos="4680"/>
        </w:tabs>
      </w:pPr>
      <w:r>
        <w:rPr>
          <w:noProof/>
        </w:rPr>
        <w:lastRenderedPageBreak/>
        <w:drawing>
          <wp:anchor distT="0" distB="0" distL="114300" distR="114300" simplePos="0" relativeHeight="251680768" behindDoc="0" locked="0" layoutInCell="1" allowOverlap="1" wp14:anchorId="4BB90C96" wp14:editId="0E31D93C">
            <wp:simplePos x="0" y="0"/>
            <wp:positionH relativeFrom="column">
              <wp:posOffset>0</wp:posOffset>
            </wp:positionH>
            <wp:positionV relativeFrom="paragraph">
              <wp:posOffset>4672330</wp:posOffset>
            </wp:positionV>
            <wp:extent cx="6001235" cy="1383665"/>
            <wp:effectExtent l="0" t="0" r="0" b="6985"/>
            <wp:wrapSquare wrapText="bothSides"/>
            <wp:docPr id="1359" name="Picture 13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1235" cy="1383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603E">
        <w:rPr>
          <w:noProof/>
        </w:rPr>
        <w:drawing>
          <wp:anchor distT="0" distB="0" distL="114300" distR="114300" simplePos="0" relativeHeight="251679744" behindDoc="0" locked="0" layoutInCell="1" allowOverlap="1" wp14:anchorId="0CB37F93" wp14:editId="286AA16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211570" cy="4672330"/>
            <wp:effectExtent l="0" t="0" r="0" b="0"/>
            <wp:wrapSquare wrapText="bothSides"/>
            <wp:docPr id="1358" name="Picture 13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1570" cy="4672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commentRangeStart w:id="0"/>
      <w:commentRangeEnd w:id="0"/>
    </w:p>
    <w:p w14:paraId="53223720" w14:textId="2908ABAA" w:rsidR="00C85091" w:rsidRDefault="001B7C8C" w:rsidP="00CF302E">
      <w:pPr>
        <w:tabs>
          <w:tab w:val="center" w:pos="4680"/>
        </w:tabs>
      </w:pPr>
      <w:r w:rsidRPr="001B7C8C">
        <w:t xml:space="preserve">Figure </w:t>
      </w:r>
      <w:r w:rsidR="00C85091">
        <w:t>S5</w:t>
      </w:r>
      <w:r w:rsidRPr="001B7C8C">
        <w:t>:</w:t>
      </w:r>
      <w:r w:rsidR="00FC6D8E">
        <w:t xml:space="preserve"> </w:t>
      </w:r>
      <w:r w:rsidRPr="001B7C8C">
        <w:t>Oligonucleotide Sequences and Concentrations</w:t>
      </w:r>
      <w:r w:rsidR="008B54C0">
        <w:t>.</w:t>
      </w:r>
    </w:p>
    <w:p w14:paraId="512B1A81" w14:textId="4CAE6269" w:rsidR="008626E0" w:rsidRDefault="001B7C8C" w:rsidP="001B7C8C">
      <w:r w:rsidRPr="001B7C8C">
        <w:t>A) Two capture oligonucleotides were used to ensure uniform capture of the full c-Myc transcript length. To assess the number of c-Myc copies captured during method optimization, two qPCR assays were used at 3’ and 5’ ends of the transcript.</w:t>
      </w:r>
    </w:p>
    <w:p w14:paraId="27338580" w14:textId="35E2DC95" w:rsidR="001B7C8C" w:rsidRDefault="001B7C8C" w:rsidP="001B7C8C">
      <w:r w:rsidRPr="001B7C8C">
        <w:t>B) The sequences of the capture and release oligonucleotides, along with the concentrations of each</w:t>
      </w:r>
      <w:r w:rsidR="008626E0">
        <w:t>,</w:t>
      </w:r>
      <w:r w:rsidRPr="001B7C8C">
        <w:t xml:space="preserve"> added to a large</w:t>
      </w:r>
      <w:r w:rsidR="008626E0">
        <w:t>-</w:t>
      </w:r>
      <w:r w:rsidRPr="001B7C8C">
        <w:t>scale HyPR-MS experiment.</w:t>
      </w:r>
    </w:p>
    <w:p w14:paraId="75E24181" w14:textId="6FD3989D" w:rsidR="00141741" w:rsidRDefault="00760BC2" w:rsidP="001B7C8C">
      <w:pPr>
        <w:rPr>
          <w:rFonts w:ascii="Arial" w:hAnsi="Arial" w:cs="Arial"/>
          <w:bCs/>
          <w:color w:val="000000"/>
        </w:rPr>
      </w:pPr>
      <w:r w:rsidRPr="00760BC2">
        <w:t>C) The sequences of the qPCR primers and probes</w:t>
      </w:r>
      <w:r>
        <w:t xml:space="preserve">. </w:t>
      </w:r>
      <w:r w:rsidR="00430DE3">
        <w:t>The c</w:t>
      </w:r>
      <w:r>
        <w:t>oncentrations used were based on manufacturer instructions</w:t>
      </w:r>
      <w:r w:rsidR="00FD3221">
        <w:t>.</w:t>
      </w:r>
    </w:p>
    <w:tbl>
      <w:tblPr>
        <w:tblStyle w:val="TableGrid"/>
        <w:tblW w:w="8550" w:type="dxa"/>
        <w:tblLayout w:type="fixed"/>
        <w:tblLook w:val="04A0" w:firstRow="1" w:lastRow="0" w:firstColumn="1" w:lastColumn="0" w:noHBand="0" w:noVBand="1"/>
      </w:tblPr>
      <w:tblGrid>
        <w:gridCol w:w="2160"/>
        <w:gridCol w:w="6390"/>
      </w:tblGrid>
      <w:tr w:rsidR="00141741" w:rsidRPr="00141741" w14:paraId="28609F68" w14:textId="77777777" w:rsidTr="00ED339B">
        <w:trPr>
          <w:trHeight w:val="368"/>
        </w:trPr>
        <w:tc>
          <w:tcPr>
            <w:tcW w:w="0" w:type="dxa"/>
            <w:hideMark/>
          </w:tcPr>
          <w:p w14:paraId="4A61962B" w14:textId="77777777" w:rsidR="00141741" w:rsidRPr="00ED339B" w:rsidRDefault="00141741" w:rsidP="00141741">
            <w:pPr>
              <w:jc w:val="center"/>
              <w:rPr>
                <w:rFonts w:ascii="Arial" w:eastAsia="Times New Roman" w:hAnsi="Arial" w:cs="Arial"/>
                <w:color w:val="FFFFFF" w:themeColor="background1"/>
              </w:rPr>
            </w:pPr>
            <w:proofErr w:type="spellStart"/>
            <w:r w:rsidRPr="00ED339B">
              <w:rPr>
                <w:rFonts w:ascii="Arial" w:eastAsia="Times New Roman" w:hAnsi="Arial" w:cs="Arial"/>
              </w:rPr>
              <w:lastRenderedPageBreak/>
              <w:t>eCLIP</w:t>
            </w:r>
            <w:proofErr w:type="spellEnd"/>
            <w:r w:rsidRPr="00ED339B">
              <w:rPr>
                <w:rFonts w:ascii="Arial" w:eastAsia="Times New Roman" w:hAnsi="Arial" w:cs="Arial"/>
              </w:rPr>
              <w:t xml:space="preserve"> Target</w:t>
            </w:r>
          </w:p>
        </w:tc>
        <w:tc>
          <w:tcPr>
            <w:tcW w:w="0" w:type="dxa"/>
            <w:hideMark/>
          </w:tcPr>
          <w:p w14:paraId="1CCABA7A" w14:textId="74BBD642" w:rsidR="00141741" w:rsidRPr="00ED339B" w:rsidRDefault="00141741" w:rsidP="00141741">
            <w:pPr>
              <w:jc w:val="center"/>
              <w:rPr>
                <w:rFonts w:ascii="Arial" w:eastAsia="Times New Roman" w:hAnsi="Arial" w:cs="Arial"/>
                <w:color w:val="FFFFFF" w:themeColor="background1"/>
              </w:rPr>
            </w:pPr>
            <w:proofErr w:type="spellStart"/>
            <w:r w:rsidRPr="00ED339B">
              <w:rPr>
                <w:rFonts w:ascii="Arial" w:eastAsia="Times New Roman" w:hAnsi="Arial" w:cs="Arial"/>
              </w:rPr>
              <w:t>eCLIP</w:t>
            </w:r>
            <w:proofErr w:type="spellEnd"/>
            <w:r w:rsidRPr="00ED339B"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t>E</w:t>
            </w:r>
            <w:r w:rsidRPr="00ED339B">
              <w:rPr>
                <w:rFonts w:ascii="Arial" w:eastAsia="Times New Roman" w:hAnsi="Arial" w:cs="Arial"/>
              </w:rPr>
              <w:t>xperiment</w:t>
            </w:r>
            <w:r>
              <w:rPr>
                <w:rFonts w:ascii="Arial" w:eastAsia="Times New Roman" w:hAnsi="Arial" w:cs="Arial"/>
              </w:rPr>
              <w:t xml:space="preserve"> URL</w:t>
            </w:r>
          </w:p>
        </w:tc>
      </w:tr>
      <w:tr w:rsidR="00141741" w:rsidRPr="00141741" w14:paraId="0509003D" w14:textId="77777777" w:rsidTr="00ED339B">
        <w:trPr>
          <w:trHeight w:val="288"/>
        </w:trPr>
        <w:tc>
          <w:tcPr>
            <w:tcW w:w="2160" w:type="dxa"/>
            <w:noWrap/>
            <w:hideMark/>
          </w:tcPr>
          <w:p w14:paraId="1DD01E64" w14:textId="77777777" w:rsidR="00141741" w:rsidRPr="00ED339B" w:rsidRDefault="00141741" w:rsidP="00141741">
            <w:pPr>
              <w:rPr>
                <w:rFonts w:ascii="Arial" w:eastAsia="Times New Roman" w:hAnsi="Arial" w:cs="Arial"/>
                <w:color w:val="000000"/>
              </w:rPr>
            </w:pPr>
            <w:r w:rsidRPr="00ED339B">
              <w:rPr>
                <w:rFonts w:ascii="Arial" w:eastAsia="Times New Roman" w:hAnsi="Arial" w:cs="Arial"/>
                <w:color w:val="000000"/>
              </w:rPr>
              <w:t>AARS</w:t>
            </w:r>
          </w:p>
        </w:tc>
        <w:tc>
          <w:tcPr>
            <w:tcW w:w="6390" w:type="dxa"/>
            <w:noWrap/>
            <w:hideMark/>
          </w:tcPr>
          <w:p w14:paraId="542AB25A" w14:textId="77777777" w:rsidR="00141741" w:rsidRPr="00ED339B" w:rsidRDefault="00141741" w:rsidP="00141741">
            <w:pPr>
              <w:rPr>
                <w:rFonts w:ascii="Arial" w:eastAsia="Times New Roman" w:hAnsi="Arial" w:cs="Arial"/>
                <w:color w:val="000000"/>
              </w:rPr>
            </w:pPr>
            <w:r w:rsidRPr="00ED339B">
              <w:rPr>
                <w:rFonts w:ascii="Arial" w:eastAsia="Times New Roman" w:hAnsi="Arial" w:cs="Arial"/>
                <w:color w:val="000000"/>
              </w:rPr>
              <w:t>https://www.encodeproject.org/experiments/ENCSR825SVO/</w:t>
            </w:r>
          </w:p>
        </w:tc>
      </w:tr>
      <w:tr w:rsidR="00141741" w:rsidRPr="00141741" w14:paraId="477F0577" w14:textId="77777777" w:rsidTr="00ED339B">
        <w:trPr>
          <w:trHeight w:val="288"/>
        </w:trPr>
        <w:tc>
          <w:tcPr>
            <w:tcW w:w="2160" w:type="dxa"/>
            <w:noWrap/>
            <w:hideMark/>
          </w:tcPr>
          <w:p w14:paraId="455AD9F5" w14:textId="77777777" w:rsidR="00141741" w:rsidRPr="00ED339B" w:rsidRDefault="00141741" w:rsidP="00141741">
            <w:pPr>
              <w:rPr>
                <w:rFonts w:ascii="Arial" w:eastAsia="Times New Roman" w:hAnsi="Arial" w:cs="Arial"/>
                <w:color w:val="000000"/>
              </w:rPr>
            </w:pPr>
            <w:r w:rsidRPr="00ED339B">
              <w:rPr>
                <w:rFonts w:ascii="Arial" w:eastAsia="Times New Roman" w:hAnsi="Arial" w:cs="Arial"/>
                <w:color w:val="000000"/>
              </w:rPr>
              <w:t>AARS control</w:t>
            </w:r>
          </w:p>
        </w:tc>
        <w:tc>
          <w:tcPr>
            <w:tcW w:w="6390" w:type="dxa"/>
            <w:hideMark/>
          </w:tcPr>
          <w:p w14:paraId="496875E1" w14:textId="77777777" w:rsidR="00141741" w:rsidRPr="00ED339B" w:rsidRDefault="00141741" w:rsidP="00141741">
            <w:pPr>
              <w:rPr>
                <w:rFonts w:ascii="Arial" w:eastAsia="Times New Roman" w:hAnsi="Arial" w:cs="Arial"/>
                <w:color w:val="000000"/>
              </w:rPr>
            </w:pPr>
            <w:r w:rsidRPr="00ED339B">
              <w:rPr>
                <w:rFonts w:ascii="Arial" w:eastAsia="Times New Roman" w:hAnsi="Arial" w:cs="Arial"/>
                <w:color w:val="000000"/>
              </w:rPr>
              <w:t>https://www.encodeproject.org/experiments/ENCSR696PRX/</w:t>
            </w:r>
          </w:p>
        </w:tc>
      </w:tr>
      <w:tr w:rsidR="00141741" w:rsidRPr="00141741" w14:paraId="00FD6529" w14:textId="77777777" w:rsidTr="00ED339B">
        <w:trPr>
          <w:trHeight w:val="288"/>
        </w:trPr>
        <w:tc>
          <w:tcPr>
            <w:tcW w:w="2160" w:type="dxa"/>
            <w:noWrap/>
            <w:hideMark/>
          </w:tcPr>
          <w:p w14:paraId="6F018011" w14:textId="77777777" w:rsidR="00141741" w:rsidRPr="00ED339B" w:rsidRDefault="00141741" w:rsidP="00141741">
            <w:pPr>
              <w:rPr>
                <w:rFonts w:ascii="Arial" w:eastAsia="Times New Roman" w:hAnsi="Arial" w:cs="Arial"/>
                <w:color w:val="000000"/>
              </w:rPr>
            </w:pPr>
            <w:r w:rsidRPr="00ED339B">
              <w:rPr>
                <w:rFonts w:ascii="Arial" w:eastAsia="Times New Roman" w:hAnsi="Arial" w:cs="Arial"/>
                <w:color w:val="000000"/>
              </w:rPr>
              <w:t>NOLC1</w:t>
            </w:r>
          </w:p>
        </w:tc>
        <w:tc>
          <w:tcPr>
            <w:tcW w:w="6390" w:type="dxa"/>
            <w:noWrap/>
            <w:hideMark/>
          </w:tcPr>
          <w:p w14:paraId="279B0436" w14:textId="77777777" w:rsidR="00141741" w:rsidRPr="00ED339B" w:rsidRDefault="00141741" w:rsidP="00141741">
            <w:pPr>
              <w:rPr>
                <w:rFonts w:ascii="Arial" w:eastAsia="Times New Roman" w:hAnsi="Arial" w:cs="Arial"/>
                <w:color w:val="000000"/>
              </w:rPr>
            </w:pPr>
            <w:r w:rsidRPr="00ED339B">
              <w:rPr>
                <w:rFonts w:ascii="Arial" w:eastAsia="Times New Roman" w:hAnsi="Arial" w:cs="Arial"/>
                <w:color w:val="000000"/>
              </w:rPr>
              <w:t xml:space="preserve">https://www.encodeproject.org/experiments/ENCSR001VAC/ </w:t>
            </w:r>
          </w:p>
        </w:tc>
      </w:tr>
      <w:tr w:rsidR="00141741" w:rsidRPr="00141741" w14:paraId="60A16993" w14:textId="77777777" w:rsidTr="00ED339B">
        <w:trPr>
          <w:trHeight w:val="288"/>
        </w:trPr>
        <w:tc>
          <w:tcPr>
            <w:tcW w:w="2160" w:type="dxa"/>
            <w:noWrap/>
            <w:hideMark/>
          </w:tcPr>
          <w:p w14:paraId="141E8BB2" w14:textId="77777777" w:rsidR="00141741" w:rsidRPr="00ED339B" w:rsidRDefault="00141741" w:rsidP="00141741">
            <w:pPr>
              <w:rPr>
                <w:rFonts w:ascii="Arial" w:eastAsia="Times New Roman" w:hAnsi="Arial" w:cs="Arial"/>
                <w:color w:val="000000"/>
              </w:rPr>
            </w:pPr>
            <w:r w:rsidRPr="00ED339B">
              <w:rPr>
                <w:rFonts w:ascii="Arial" w:eastAsia="Times New Roman" w:hAnsi="Arial" w:cs="Arial"/>
                <w:color w:val="000000"/>
              </w:rPr>
              <w:t>NOLC1 control</w:t>
            </w:r>
          </w:p>
        </w:tc>
        <w:tc>
          <w:tcPr>
            <w:tcW w:w="6390" w:type="dxa"/>
            <w:hideMark/>
          </w:tcPr>
          <w:p w14:paraId="72E1EF2C" w14:textId="77777777" w:rsidR="00141741" w:rsidRPr="00ED339B" w:rsidRDefault="00141741" w:rsidP="00141741">
            <w:pPr>
              <w:rPr>
                <w:rFonts w:ascii="Arial" w:eastAsia="Times New Roman" w:hAnsi="Arial" w:cs="Arial"/>
                <w:color w:val="000000"/>
              </w:rPr>
            </w:pPr>
            <w:r w:rsidRPr="00ED339B">
              <w:rPr>
                <w:rFonts w:ascii="Arial" w:eastAsia="Times New Roman" w:hAnsi="Arial" w:cs="Arial"/>
                <w:color w:val="000000"/>
              </w:rPr>
              <w:t>https://www.encodeproject.org/experiments/ENCSR009CIV/</w:t>
            </w:r>
          </w:p>
        </w:tc>
      </w:tr>
      <w:tr w:rsidR="00141741" w:rsidRPr="00141741" w14:paraId="1DDC4C20" w14:textId="77777777" w:rsidTr="00ED339B">
        <w:trPr>
          <w:trHeight w:val="288"/>
        </w:trPr>
        <w:tc>
          <w:tcPr>
            <w:tcW w:w="2160" w:type="dxa"/>
            <w:noWrap/>
            <w:hideMark/>
          </w:tcPr>
          <w:p w14:paraId="2B5C14EE" w14:textId="77777777" w:rsidR="00141741" w:rsidRPr="00ED339B" w:rsidRDefault="00141741" w:rsidP="00141741">
            <w:pPr>
              <w:rPr>
                <w:rFonts w:ascii="Arial" w:eastAsia="Times New Roman" w:hAnsi="Arial" w:cs="Arial"/>
                <w:color w:val="000000"/>
              </w:rPr>
            </w:pPr>
            <w:r w:rsidRPr="00ED339B">
              <w:rPr>
                <w:rFonts w:ascii="Arial" w:eastAsia="Times New Roman" w:hAnsi="Arial" w:cs="Arial"/>
                <w:color w:val="000000"/>
              </w:rPr>
              <w:t>YWHAG</w:t>
            </w:r>
          </w:p>
        </w:tc>
        <w:tc>
          <w:tcPr>
            <w:tcW w:w="6390" w:type="dxa"/>
            <w:noWrap/>
            <w:hideMark/>
          </w:tcPr>
          <w:p w14:paraId="069BB0DA" w14:textId="77777777" w:rsidR="00141741" w:rsidRPr="00ED339B" w:rsidRDefault="00141741" w:rsidP="00141741">
            <w:pPr>
              <w:rPr>
                <w:rFonts w:ascii="Arial" w:eastAsia="Times New Roman" w:hAnsi="Arial" w:cs="Arial"/>
                <w:color w:val="000000"/>
              </w:rPr>
            </w:pPr>
            <w:r w:rsidRPr="00ED339B">
              <w:rPr>
                <w:rFonts w:ascii="Arial" w:eastAsia="Times New Roman" w:hAnsi="Arial" w:cs="Arial"/>
                <w:color w:val="000000"/>
              </w:rPr>
              <w:t xml:space="preserve">https://www.encodeproject.org/experiments/ENCSR867ZVK/ </w:t>
            </w:r>
          </w:p>
        </w:tc>
      </w:tr>
      <w:tr w:rsidR="00141741" w:rsidRPr="00141741" w14:paraId="00927E12" w14:textId="77777777" w:rsidTr="00ED339B">
        <w:trPr>
          <w:trHeight w:val="288"/>
        </w:trPr>
        <w:tc>
          <w:tcPr>
            <w:tcW w:w="2160" w:type="dxa"/>
            <w:noWrap/>
            <w:hideMark/>
          </w:tcPr>
          <w:p w14:paraId="2761328E" w14:textId="77777777" w:rsidR="00141741" w:rsidRPr="00ED339B" w:rsidRDefault="00141741" w:rsidP="00141741">
            <w:pPr>
              <w:rPr>
                <w:rFonts w:ascii="Arial" w:eastAsia="Times New Roman" w:hAnsi="Arial" w:cs="Arial"/>
                <w:color w:val="000000"/>
              </w:rPr>
            </w:pPr>
            <w:r w:rsidRPr="00ED339B">
              <w:rPr>
                <w:rFonts w:ascii="Arial" w:eastAsia="Times New Roman" w:hAnsi="Arial" w:cs="Arial"/>
                <w:color w:val="000000"/>
              </w:rPr>
              <w:t>YWHAG control</w:t>
            </w:r>
          </w:p>
        </w:tc>
        <w:tc>
          <w:tcPr>
            <w:tcW w:w="6390" w:type="dxa"/>
            <w:hideMark/>
          </w:tcPr>
          <w:p w14:paraId="56DD3DA3" w14:textId="77777777" w:rsidR="00141741" w:rsidRPr="00ED339B" w:rsidRDefault="00141741" w:rsidP="00141741">
            <w:pPr>
              <w:rPr>
                <w:rFonts w:ascii="Arial" w:eastAsia="Times New Roman" w:hAnsi="Arial" w:cs="Arial"/>
                <w:color w:val="000000"/>
              </w:rPr>
            </w:pPr>
            <w:r w:rsidRPr="00ED339B">
              <w:rPr>
                <w:rFonts w:ascii="Arial" w:eastAsia="Times New Roman" w:hAnsi="Arial" w:cs="Arial"/>
                <w:color w:val="000000"/>
              </w:rPr>
              <w:t>https://www.encodeproject.org/experiments/ENCSR812PBU/</w:t>
            </w:r>
          </w:p>
        </w:tc>
      </w:tr>
      <w:tr w:rsidR="00141741" w:rsidRPr="00141741" w14:paraId="2CDCFD4B" w14:textId="77777777" w:rsidTr="00ED339B">
        <w:trPr>
          <w:trHeight w:val="288"/>
        </w:trPr>
        <w:tc>
          <w:tcPr>
            <w:tcW w:w="2160" w:type="dxa"/>
            <w:noWrap/>
            <w:hideMark/>
          </w:tcPr>
          <w:p w14:paraId="0EFB2294" w14:textId="77777777" w:rsidR="00141741" w:rsidRPr="00ED339B" w:rsidRDefault="00141741" w:rsidP="00141741">
            <w:pPr>
              <w:rPr>
                <w:rFonts w:ascii="Arial" w:eastAsia="Times New Roman" w:hAnsi="Arial" w:cs="Arial"/>
                <w:color w:val="000000"/>
              </w:rPr>
            </w:pPr>
            <w:r w:rsidRPr="00ED339B">
              <w:rPr>
                <w:rFonts w:ascii="Arial" w:eastAsia="Times New Roman" w:hAnsi="Arial" w:cs="Arial"/>
                <w:color w:val="000000"/>
              </w:rPr>
              <w:t>IGF2BP1</w:t>
            </w:r>
          </w:p>
        </w:tc>
        <w:tc>
          <w:tcPr>
            <w:tcW w:w="6390" w:type="dxa"/>
            <w:noWrap/>
            <w:hideMark/>
          </w:tcPr>
          <w:p w14:paraId="536A376C" w14:textId="77777777" w:rsidR="00141741" w:rsidRPr="00ED339B" w:rsidRDefault="00141741" w:rsidP="00141741">
            <w:pPr>
              <w:rPr>
                <w:rFonts w:ascii="Arial" w:eastAsia="Times New Roman" w:hAnsi="Arial" w:cs="Arial"/>
                <w:color w:val="000000"/>
              </w:rPr>
            </w:pPr>
            <w:r w:rsidRPr="00ED339B">
              <w:rPr>
                <w:rFonts w:ascii="Arial" w:eastAsia="Times New Roman" w:hAnsi="Arial" w:cs="Arial"/>
                <w:color w:val="000000"/>
              </w:rPr>
              <w:t xml:space="preserve">https://www.encodeproject.org/experiments/ENCSR975KIR/ </w:t>
            </w:r>
          </w:p>
        </w:tc>
      </w:tr>
      <w:tr w:rsidR="00141741" w:rsidRPr="00141741" w14:paraId="6DFF0290" w14:textId="77777777" w:rsidTr="00ED339B">
        <w:trPr>
          <w:trHeight w:val="288"/>
        </w:trPr>
        <w:tc>
          <w:tcPr>
            <w:tcW w:w="2160" w:type="dxa"/>
            <w:noWrap/>
            <w:hideMark/>
          </w:tcPr>
          <w:p w14:paraId="34EDFA51" w14:textId="77777777" w:rsidR="00141741" w:rsidRPr="00ED339B" w:rsidRDefault="00141741" w:rsidP="00141741">
            <w:pPr>
              <w:rPr>
                <w:rFonts w:ascii="Arial" w:eastAsia="Times New Roman" w:hAnsi="Arial" w:cs="Arial"/>
                <w:color w:val="000000"/>
              </w:rPr>
            </w:pPr>
            <w:r w:rsidRPr="00ED339B">
              <w:rPr>
                <w:rFonts w:ascii="Arial" w:eastAsia="Times New Roman" w:hAnsi="Arial" w:cs="Arial"/>
                <w:color w:val="000000"/>
              </w:rPr>
              <w:t>IGF2BP1 control</w:t>
            </w:r>
          </w:p>
        </w:tc>
        <w:tc>
          <w:tcPr>
            <w:tcW w:w="6390" w:type="dxa"/>
            <w:hideMark/>
          </w:tcPr>
          <w:p w14:paraId="28A8C7A0" w14:textId="77777777" w:rsidR="00141741" w:rsidRPr="00ED339B" w:rsidRDefault="00141741" w:rsidP="00141741">
            <w:pPr>
              <w:rPr>
                <w:rFonts w:ascii="Arial" w:eastAsia="Times New Roman" w:hAnsi="Arial" w:cs="Arial"/>
                <w:color w:val="000000"/>
              </w:rPr>
            </w:pPr>
            <w:r w:rsidRPr="00ED339B">
              <w:rPr>
                <w:rFonts w:ascii="Arial" w:eastAsia="Times New Roman" w:hAnsi="Arial" w:cs="Arial"/>
                <w:color w:val="000000"/>
              </w:rPr>
              <w:t>https://www.encodeproject.org/experiments/ENCSR125CLF/</w:t>
            </w:r>
          </w:p>
        </w:tc>
      </w:tr>
      <w:tr w:rsidR="00141741" w:rsidRPr="00141741" w14:paraId="03F6F187" w14:textId="77777777" w:rsidTr="00ED339B">
        <w:trPr>
          <w:trHeight w:val="288"/>
        </w:trPr>
        <w:tc>
          <w:tcPr>
            <w:tcW w:w="2160" w:type="dxa"/>
            <w:noWrap/>
            <w:hideMark/>
          </w:tcPr>
          <w:p w14:paraId="6B124C6A" w14:textId="77777777" w:rsidR="00141741" w:rsidRPr="00ED339B" w:rsidRDefault="00141741" w:rsidP="00141741">
            <w:pPr>
              <w:rPr>
                <w:rFonts w:ascii="Arial" w:eastAsia="Times New Roman" w:hAnsi="Arial" w:cs="Arial"/>
                <w:color w:val="000000"/>
              </w:rPr>
            </w:pPr>
            <w:r w:rsidRPr="00ED339B">
              <w:rPr>
                <w:rFonts w:ascii="Arial" w:eastAsia="Times New Roman" w:hAnsi="Arial" w:cs="Arial"/>
                <w:color w:val="000000"/>
              </w:rPr>
              <w:t>SND1</w:t>
            </w:r>
          </w:p>
        </w:tc>
        <w:tc>
          <w:tcPr>
            <w:tcW w:w="6390" w:type="dxa"/>
            <w:noWrap/>
            <w:hideMark/>
          </w:tcPr>
          <w:p w14:paraId="380A7352" w14:textId="77777777" w:rsidR="00141741" w:rsidRPr="00ED339B" w:rsidRDefault="00141741" w:rsidP="00141741">
            <w:pPr>
              <w:rPr>
                <w:rFonts w:ascii="Arial" w:eastAsia="Times New Roman" w:hAnsi="Arial" w:cs="Arial"/>
                <w:color w:val="000000"/>
              </w:rPr>
            </w:pPr>
            <w:r w:rsidRPr="00ED339B">
              <w:rPr>
                <w:rFonts w:ascii="Arial" w:eastAsia="Times New Roman" w:hAnsi="Arial" w:cs="Arial"/>
                <w:color w:val="000000"/>
              </w:rPr>
              <w:t xml:space="preserve">https://www.encodeproject.org/experiments/ENCSR128VXC/  </w:t>
            </w:r>
          </w:p>
        </w:tc>
      </w:tr>
      <w:tr w:rsidR="00141741" w:rsidRPr="00141741" w14:paraId="6F6D6B66" w14:textId="77777777" w:rsidTr="00ED339B">
        <w:trPr>
          <w:trHeight w:val="288"/>
        </w:trPr>
        <w:tc>
          <w:tcPr>
            <w:tcW w:w="2160" w:type="dxa"/>
            <w:noWrap/>
            <w:hideMark/>
          </w:tcPr>
          <w:p w14:paraId="339C6843" w14:textId="77777777" w:rsidR="00141741" w:rsidRPr="00ED339B" w:rsidRDefault="00141741" w:rsidP="00141741">
            <w:pPr>
              <w:rPr>
                <w:rFonts w:ascii="Arial" w:eastAsia="Times New Roman" w:hAnsi="Arial" w:cs="Arial"/>
                <w:color w:val="000000"/>
              </w:rPr>
            </w:pPr>
            <w:r w:rsidRPr="00ED339B">
              <w:rPr>
                <w:rFonts w:ascii="Arial" w:eastAsia="Times New Roman" w:hAnsi="Arial" w:cs="Arial"/>
                <w:color w:val="000000"/>
              </w:rPr>
              <w:t>SND1 control</w:t>
            </w:r>
          </w:p>
        </w:tc>
        <w:tc>
          <w:tcPr>
            <w:tcW w:w="6390" w:type="dxa"/>
            <w:hideMark/>
          </w:tcPr>
          <w:p w14:paraId="1258B03A" w14:textId="77777777" w:rsidR="00141741" w:rsidRPr="00ED339B" w:rsidRDefault="00141741" w:rsidP="00141741">
            <w:pPr>
              <w:rPr>
                <w:rFonts w:ascii="Arial" w:eastAsia="Times New Roman" w:hAnsi="Arial" w:cs="Arial"/>
                <w:color w:val="000000"/>
              </w:rPr>
            </w:pPr>
            <w:r w:rsidRPr="00ED339B">
              <w:rPr>
                <w:rFonts w:ascii="Arial" w:eastAsia="Times New Roman" w:hAnsi="Arial" w:cs="Arial"/>
                <w:color w:val="000000"/>
              </w:rPr>
              <w:t>https://www.encodeproject.org/experiments/ENCSR435EVK/</w:t>
            </w:r>
          </w:p>
        </w:tc>
      </w:tr>
      <w:tr w:rsidR="00141741" w:rsidRPr="00141741" w14:paraId="1AAFB00D" w14:textId="77777777" w:rsidTr="00ED339B">
        <w:trPr>
          <w:trHeight w:val="288"/>
        </w:trPr>
        <w:tc>
          <w:tcPr>
            <w:tcW w:w="2160" w:type="dxa"/>
            <w:noWrap/>
            <w:hideMark/>
          </w:tcPr>
          <w:p w14:paraId="53BE0916" w14:textId="77777777" w:rsidR="00141741" w:rsidRPr="00ED339B" w:rsidRDefault="00141741" w:rsidP="00141741">
            <w:pPr>
              <w:rPr>
                <w:rFonts w:ascii="Arial" w:eastAsia="Times New Roman" w:hAnsi="Arial" w:cs="Arial"/>
                <w:color w:val="000000"/>
              </w:rPr>
            </w:pPr>
            <w:r w:rsidRPr="00ED339B">
              <w:rPr>
                <w:rFonts w:ascii="Arial" w:eastAsia="Times New Roman" w:hAnsi="Arial" w:cs="Arial"/>
                <w:color w:val="000000"/>
              </w:rPr>
              <w:t>SRSF1</w:t>
            </w:r>
          </w:p>
        </w:tc>
        <w:tc>
          <w:tcPr>
            <w:tcW w:w="6390" w:type="dxa"/>
            <w:noWrap/>
            <w:hideMark/>
          </w:tcPr>
          <w:p w14:paraId="3C6F7386" w14:textId="77777777" w:rsidR="00141741" w:rsidRPr="00ED339B" w:rsidRDefault="00141741" w:rsidP="00141741">
            <w:pPr>
              <w:rPr>
                <w:rFonts w:ascii="Arial" w:eastAsia="Times New Roman" w:hAnsi="Arial" w:cs="Arial"/>
                <w:color w:val="000000"/>
              </w:rPr>
            </w:pPr>
            <w:r w:rsidRPr="00ED339B">
              <w:rPr>
                <w:rFonts w:ascii="Arial" w:eastAsia="Times New Roman" w:hAnsi="Arial" w:cs="Arial"/>
                <w:color w:val="000000"/>
              </w:rPr>
              <w:t xml:space="preserve">https://www.encodeproject.org/experiments/ENCSR432XUP/  </w:t>
            </w:r>
          </w:p>
        </w:tc>
      </w:tr>
      <w:tr w:rsidR="00141741" w:rsidRPr="00141741" w14:paraId="0947D066" w14:textId="77777777" w:rsidTr="00ED339B">
        <w:trPr>
          <w:trHeight w:val="288"/>
        </w:trPr>
        <w:tc>
          <w:tcPr>
            <w:tcW w:w="2160" w:type="dxa"/>
            <w:noWrap/>
            <w:hideMark/>
          </w:tcPr>
          <w:p w14:paraId="6101AA6D" w14:textId="77777777" w:rsidR="00141741" w:rsidRPr="00ED339B" w:rsidRDefault="00141741" w:rsidP="00141741">
            <w:pPr>
              <w:rPr>
                <w:rFonts w:ascii="Arial" w:eastAsia="Times New Roman" w:hAnsi="Arial" w:cs="Arial"/>
                <w:color w:val="000000"/>
              </w:rPr>
            </w:pPr>
            <w:r w:rsidRPr="00ED339B">
              <w:rPr>
                <w:rFonts w:ascii="Arial" w:eastAsia="Times New Roman" w:hAnsi="Arial" w:cs="Arial"/>
                <w:color w:val="000000"/>
              </w:rPr>
              <w:t>SRSF1 control</w:t>
            </w:r>
          </w:p>
        </w:tc>
        <w:tc>
          <w:tcPr>
            <w:tcW w:w="6390" w:type="dxa"/>
            <w:hideMark/>
          </w:tcPr>
          <w:p w14:paraId="17F41149" w14:textId="77777777" w:rsidR="00141741" w:rsidRPr="00ED339B" w:rsidRDefault="00141741" w:rsidP="00141741">
            <w:pPr>
              <w:rPr>
                <w:rFonts w:ascii="Arial" w:eastAsia="Times New Roman" w:hAnsi="Arial" w:cs="Arial"/>
                <w:color w:val="000000"/>
              </w:rPr>
            </w:pPr>
            <w:r w:rsidRPr="00ED339B">
              <w:rPr>
                <w:rFonts w:ascii="Arial" w:eastAsia="Times New Roman" w:hAnsi="Arial" w:cs="Arial"/>
                <w:color w:val="000000"/>
              </w:rPr>
              <w:t>https://www.encodeproject.org/experiments/ENCSR925TYQ/</w:t>
            </w:r>
          </w:p>
        </w:tc>
      </w:tr>
    </w:tbl>
    <w:p w14:paraId="79A06CF0" w14:textId="3A1682E6" w:rsidR="00141741" w:rsidRDefault="00141741" w:rsidP="001B7C8C">
      <w:pPr>
        <w:rPr>
          <w:rFonts w:ascii="Arial" w:hAnsi="Arial" w:cs="Arial"/>
        </w:rPr>
      </w:pPr>
      <w:bookmarkStart w:id="1" w:name="_GoBack"/>
    </w:p>
    <w:p w14:paraId="0CA8736C" w14:textId="3560B3C0" w:rsidR="002E37C7" w:rsidRPr="00ED339B" w:rsidRDefault="002E37C7" w:rsidP="001B7C8C">
      <w:pPr>
        <w:rPr>
          <w:rFonts w:ascii="Arial" w:hAnsi="Arial" w:cs="Arial"/>
        </w:rPr>
      </w:pPr>
      <w:r>
        <w:rPr>
          <w:rFonts w:ascii="Arial" w:hAnsi="Arial" w:cs="Arial"/>
        </w:rPr>
        <w:t>Figure S6</w:t>
      </w:r>
      <w:r w:rsidRPr="00ED339B">
        <w:rPr>
          <w:rFonts w:ascii="Arial" w:hAnsi="Arial" w:cs="Arial"/>
        </w:rPr>
        <w:t xml:space="preserve">: Publicly available </w:t>
      </w:r>
      <w:proofErr w:type="spellStart"/>
      <w:r w:rsidRPr="00ED339B">
        <w:rPr>
          <w:rFonts w:ascii="Arial" w:hAnsi="Arial" w:cs="Arial"/>
        </w:rPr>
        <w:t>eCLIP</w:t>
      </w:r>
      <w:proofErr w:type="spellEnd"/>
      <w:r w:rsidRPr="00ED339B">
        <w:rPr>
          <w:rFonts w:ascii="Arial" w:hAnsi="Arial" w:cs="Arial"/>
        </w:rPr>
        <w:t xml:space="preserve"> data used to validate </w:t>
      </w:r>
      <w:r w:rsidRPr="00141741">
        <w:rPr>
          <w:rFonts w:ascii="Arial" w:hAnsi="Arial" w:cs="Arial"/>
          <w:bCs/>
          <w:color w:val="000000"/>
        </w:rPr>
        <w:t>AARS, IGFBP1, NOLC1, SND1, SRSF1, and YWHAG binding of c-Myc mRNA</w:t>
      </w:r>
      <w:r>
        <w:rPr>
          <w:rFonts w:ascii="Arial" w:hAnsi="Arial" w:cs="Arial"/>
          <w:bCs/>
          <w:color w:val="000000"/>
        </w:rPr>
        <w:t>.</w:t>
      </w:r>
      <w:bookmarkEnd w:id="1"/>
    </w:p>
    <w:sectPr w:rsidR="002E37C7" w:rsidRPr="00ED33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27A22"/>
    <w:multiLevelType w:val="hybridMultilevel"/>
    <w:tmpl w:val="F1503F3E"/>
    <w:lvl w:ilvl="0" w:tplc="BEE0185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C58BE"/>
    <w:multiLevelType w:val="hybridMultilevel"/>
    <w:tmpl w:val="DE1C88CC"/>
    <w:lvl w:ilvl="0" w:tplc="0AD4DC0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E2F03"/>
    <w:multiLevelType w:val="hybridMultilevel"/>
    <w:tmpl w:val="5E0081E2"/>
    <w:lvl w:ilvl="0" w:tplc="500A1784">
      <w:start w:val="1"/>
      <w:numFmt w:val="upp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A4E1C"/>
    <w:multiLevelType w:val="hybridMultilevel"/>
    <w:tmpl w:val="12303DC0"/>
    <w:lvl w:ilvl="0" w:tplc="05A04EB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55668E"/>
    <w:multiLevelType w:val="hybridMultilevel"/>
    <w:tmpl w:val="6002C72A"/>
    <w:lvl w:ilvl="0" w:tplc="27ECE2E8">
      <w:start w:val="1"/>
      <w:numFmt w:val="upp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A77EDF"/>
    <w:multiLevelType w:val="hybridMultilevel"/>
    <w:tmpl w:val="FA1E184C"/>
    <w:lvl w:ilvl="0" w:tplc="30EC487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064B7B"/>
    <w:multiLevelType w:val="hybridMultilevel"/>
    <w:tmpl w:val="2D768F46"/>
    <w:lvl w:ilvl="0" w:tplc="B7FE23F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A0D4C6B"/>
    <w:multiLevelType w:val="hybridMultilevel"/>
    <w:tmpl w:val="ADD20040"/>
    <w:lvl w:ilvl="0" w:tplc="9B6C04A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2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BB1"/>
    <w:rsid w:val="0000603E"/>
    <w:rsid w:val="00027A41"/>
    <w:rsid w:val="00061213"/>
    <w:rsid w:val="00141741"/>
    <w:rsid w:val="00183991"/>
    <w:rsid w:val="001A55FF"/>
    <w:rsid w:val="001B7C8C"/>
    <w:rsid w:val="00224749"/>
    <w:rsid w:val="00243D0B"/>
    <w:rsid w:val="00277FB0"/>
    <w:rsid w:val="002B7D69"/>
    <w:rsid w:val="002E37C7"/>
    <w:rsid w:val="002F3FEC"/>
    <w:rsid w:val="00310A63"/>
    <w:rsid w:val="003236F7"/>
    <w:rsid w:val="003514FE"/>
    <w:rsid w:val="00362D89"/>
    <w:rsid w:val="0037769D"/>
    <w:rsid w:val="00391BB1"/>
    <w:rsid w:val="00415809"/>
    <w:rsid w:val="00430DE3"/>
    <w:rsid w:val="004353D6"/>
    <w:rsid w:val="004B1724"/>
    <w:rsid w:val="004F547A"/>
    <w:rsid w:val="005C59AD"/>
    <w:rsid w:val="005D0681"/>
    <w:rsid w:val="00695DA9"/>
    <w:rsid w:val="006E5016"/>
    <w:rsid w:val="006F6968"/>
    <w:rsid w:val="0073577D"/>
    <w:rsid w:val="00760BC2"/>
    <w:rsid w:val="00815917"/>
    <w:rsid w:val="008626E0"/>
    <w:rsid w:val="008A6ABA"/>
    <w:rsid w:val="008A7BF4"/>
    <w:rsid w:val="008B54C0"/>
    <w:rsid w:val="008D4B5D"/>
    <w:rsid w:val="008E1EA2"/>
    <w:rsid w:val="008E3941"/>
    <w:rsid w:val="009F4730"/>
    <w:rsid w:val="00A13D3A"/>
    <w:rsid w:val="00A5067E"/>
    <w:rsid w:val="00A66FFA"/>
    <w:rsid w:val="00A944E8"/>
    <w:rsid w:val="00A94555"/>
    <w:rsid w:val="00B27983"/>
    <w:rsid w:val="00B85AD9"/>
    <w:rsid w:val="00C85091"/>
    <w:rsid w:val="00C951B2"/>
    <w:rsid w:val="00C96715"/>
    <w:rsid w:val="00CC7C19"/>
    <w:rsid w:val="00CF302E"/>
    <w:rsid w:val="00D14BFB"/>
    <w:rsid w:val="00D472AA"/>
    <w:rsid w:val="00DF3EA1"/>
    <w:rsid w:val="00E13ADA"/>
    <w:rsid w:val="00ED339B"/>
    <w:rsid w:val="00EF5239"/>
    <w:rsid w:val="00F16736"/>
    <w:rsid w:val="00F41FD7"/>
    <w:rsid w:val="00FC6D8E"/>
    <w:rsid w:val="00FD3221"/>
    <w:rsid w:val="00FD39D8"/>
    <w:rsid w:val="00FF5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4769929C"/>
  <w15:chartTrackingRefBased/>
  <w15:docId w15:val="{758AC746-7A8F-4215-8E4A-CD93B141E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1B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BB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91BB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B54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54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54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54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54C0"/>
    <w:rPr>
      <w:b/>
      <w:bCs/>
      <w:sz w:val="20"/>
      <w:szCs w:val="20"/>
    </w:rPr>
  </w:style>
  <w:style w:type="table" w:styleId="PlainTable5">
    <w:name w:val="Plain Table 5"/>
    <w:basedOn w:val="TableNormal"/>
    <w:uiPriority w:val="45"/>
    <w:rsid w:val="00141741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2">
    <w:name w:val="Grid Table 2"/>
    <w:basedOn w:val="TableNormal"/>
    <w:uiPriority w:val="47"/>
    <w:rsid w:val="00141741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3">
    <w:name w:val="List Table 3"/>
    <w:basedOn w:val="TableNormal"/>
    <w:uiPriority w:val="48"/>
    <w:rsid w:val="00141741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4-Accent5">
    <w:name w:val="List Table 4 Accent 5"/>
    <w:basedOn w:val="TableNormal"/>
    <w:uiPriority w:val="49"/>
    <w:rsid w:val="00141741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leGridLight">
    <w:name w:val="Grid Table Light"/>
    <w:basedOn w:val="TableNormal"/>
    <w:uiPriority w:val="40"/>
    <w:rsid w:val="00ED339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Grid">
    <w:name w:val="Table Grid"/>
    <w:basedOn w:val="TableNormal"/>
    <w:uiPriority w:val="39"/>
    <w:rsid w:val="00ED33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4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1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635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Maisie Steinbrink</dc:creator>
  <cp:keywords/>
  <dc:description/>
  <cp:lastModifiedBy>Maisie Steinbrink</cp:lastModifiedBy>
  <cp:revision>14</cp:revision>
  <dcterms:created xsi:type="dcterms:W3CDTF">2019-05-20T05:00:00Z</dcterms:created>
  <dcterms:modified xsi:type="dcterms:W3CDTF">2019-05-22T02:19:00Z</dcterms:modified>
</cp:coreProperties>
</file>