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76EC" w:rsidRPr="00891102" w:rsidRDefault="00636915" w:rsidP="000D5B36">
      <w:pPr>
        <w:spacing w:line="480" w:lineRule="auto"/>
        <w:outlineLvl w:val="0"/>
        <w:rPr>
          <w:sz w:val="28"/>
          <w:szCs w:val="28"/>
          <w:u w:val="single"/>
        </w:rPr>
      </w:pPr>
      <w:r w:rsidRPr="00891102">
        <w:rPr>
          <w:sz w:val="28"/>
          <w:szCs w:val="28"/>
          <w:u w:val="single"/>
        </w:rPr>
        <w:t>Supplementary Material</w:t>
      </w:r>
    </w:p>
    <w:p w:rsidR="00C269F9" w:rsidRDefault="008B7878" w:rsidP="000D5B36">
      <w:pPr>
        <w:spacing w:line="480" w:lineRule="auto"/>
        <w:outlineLvl w:val="0"/>
        <w:rPr>
          <w:b/>
        </w:rPr>
      </w:pPr>
      <w:r>
        <w:rPr>
          <w:b/>
        </w:rPr>
        <w:t>Basics of s</w:t>
      </w:r>
      <w:r w:rsidR="00C269F9">
        <w:rPr>
          <w:b/>
        </w:rPr>
        <w:t>mall-angle x-ray scattering</w:t>
      </w:r>
      <w:r>
        <w:rPr>
          <w:b/>
        </w:rPr>
        <w:t xml:space="preserve"> (SAXS) experiments</w:t>
      </w:r>
    </w:p>
    <w:p w:rsidR="00C269F9" w:rsidRDefault="000D5B36" w:rsidP="00C269F9">
      <w:pPr>
        <w:spacing w:line="480" w:lineRule="auto"/>
      </w:pPr>
      <w:r>
        <w:t>Figure</w:t>
      </w:r>
      <w:r w:rsidR="00454E57">
        <w:t xml:space="preserve"> </w:t>
      </w:r>
      <w:r w:rsidR="00E90489">
        <w:t>S1</w:t>
      </w:r>
      <w:r w:rsidR="00454E57">
        <w:t xml:space="preserve"> shows a schematic of a basic SAXS experiment.</w:t>
      </w:r>
    </w:p>
    <w:p w:rsidR="00C269F9" w:rsidRDefault="00C269F9" w:rsidP="00C269F9">
      <w:pPr>
        <w:spacing w:line="480" w:lineRule="auto"/>
      </w:pPr>
      <w:r>
        <w:rPr>
          <w:noProof/>
        </w:rPr>
        <w:drawing>
          <wp:inline distT="0" distB="0" distL="0" distR="0" wp14:anchorId="54111EDD" wp14:editId="2FD9F594">
            <wp:extent cx="2990806" cy="94297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1.jpg"/>
                    <pic:cNvPicPr/>
                  </pic:nvPicPr>
                  <pic:blipFill rotWithShape="1">
                    <a:blip r:embed="rId6" cstate="print">
                      <a:extLst>
                        <a:ext uri="{28A0092B-C50C-407E-A947-70E740481C1C}">
                          <a14:useLocalDpi xmlns:a14="http://schemas.microsoft.com/office/drawing/2010/main" val="0"/>
                        </a:ext>
                      </a:extLst>
                    </a:blip>
                    <a:srcRect b="49966"/>
                    <a:stretch/>
                  </pic:blipFill>
                  <pic:spPr bwMode="auto">
                    <a:xfrm>
                      <a:off x="0" y="0"/>
                      <a:ext cx="2991612" cy="94322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E90489" w:rsidRDefault="00E90489" w:rsidP="00C269F9">
      <w:pPr>
        <w:spacing w:line="480" w:lineRule="auto"/>
      </w:pPr>
      <w:r>
        <w:t>Figure S1. Conceptual representation of SAXS experiments.</w:t>
      </w:r>
    </w:p>
    <w:p w:rsidR="008B7878" w:rsidRDefault="00454E57" w:rsidP="008B7878">
      <w:pPr>
        <w:spacing w:line="480" w:lineRule="auto"/>
        <w:rPr>
          <w:rFonts w:eastAsiaTheme="minorEastAsia"/>
        </w:rPr>
      </w:pPr>
      <w:r>
        <w:t>In SAXS</w:t>
      </w:r>
      <w:r w:rsidR="000D5B36">
        <w:t>, i</w:t>
      </w:r>
      <w:r w:rsidR="00C269F9">
        <w:t>n</w:t>
      </w:r>
      <w:r w:rsidR="000832B2">
        <w:t>c</w:t>
      </w:r>
      <w:r w:rsidR="000D5B36">
        <w:t>ident</w:t>
      </w:r>
      <w:r>
        <w:t xml:space="preserve"> x-rays encounter a liquid </w:t>
      </w:r>
      <w:r w:rsidR="000D5B36">
        <w:t xml:space="preserve">sample contained within a sample cell. </w:t>
      </w:r>
      <w:r>
        <w:t>The main beam passes through the sample unobstructed and encounters a highly absorbing beamstop. A small fraction of t</w:t>
      </w:r>
      <w:r w:rsidR="000D5B36">
        <w:t>he</w:t>
      </w:r>
      <w:r>
        <w:t xml:space="preserve"> photons are</w:t>
      </w:r>
      <w:r w:rsidR="000D5B36">
        <w:t xml:space="preserve"> scattered </w:t>
      </w:r>
      <w:r>
        <w:t xml:space="preserve">by molecules within the sample, or by the sample cell. These scattered </w:t>
      </w:r>
      <w:r w:rsidR="000D5B36">
        <w:t xml:space="preserve">photons are collected by an area detector. </w:t>
      </w:r>
      <w:r>
        <w:t xml:space="preserve">An azimuthal average of the scattered intensity is used to create plots of scattering intensity as a function of scattering angle, or more commonly as a function of the momentum transfer </w:t>
      </w:r>
      <m:oMath>
        <m:r>
          <w:rPr>
            <w:rFonts w:ascii="Cambria Math" w:hAnsi="Cambria Math"/>
          </w:rPr>
          <m:t>q=</m:t>
        </m:r>
        <m:f>
          <m:fPr>
            <m:type m:val="skw"/>
            <m:ctrlPr>
              <w:rPr>
                <w:rFonts w:ascii="Cambria Math" w:hAnsi="Cambria Math"/>
                <w:i/>
              </w:rPr>
            </m:ctrlPr>
          </m:fPr>
          <m:num>
            <m:r>
              <w:rPr>
                <w:rFonts w:ascii="Cambria Math" w:hAnsi="Cambria Math"/>
              </w:rPr>
              <m:t>4π</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r>
              <w:rPr>
                <w:rFonts w:ascii="Cambria Math" w:hAnsi="Cambria Math"/>
              </w:rPr>
              <m:t>λ</m:t>
            </m:r>
          </m:den>
        </m:f>
      </m:oMath>
      <w:r w:rsidR="008B7878">
        <w:rPr>
          <w:rFonts w:eastAsiaTheme="minorEastAsia"/>
        </w:rPr>
        <w:t xml:space="preserve">. Here, </w:t>
      </w:r>
      <w:r w:rsidR="008B7878">
        <w:rPr>
          <w:rFonts w:eastAsiaTheme="minorEastAsia"/>
        </w:rPr>
        <w:sym w:font="Symbol" w:char="F071"/>
      </w:r>
      <w:r w:rsidR="008B7878">
        <w:rPr>
          <w:rFonts w:eastAsiaTheme="minorEastAsia"/>
        </w:rPr>
        <w:t xml:space="preserve"> is half of the scattering angle and </w:t>
      </w:r>
      <w:r w:rsidR="008B7878">
        <w:rPr>
          <w:rFonts w:eastAsiaTheme="minorEastAsia"/>
        </w:rPr>
        <w:sym w:font="Symbol" w:char="F06C"/>
      </w:r>
      <w:r w:rsidR="008B7878">
        <w:rPr>
          <w:rFonts w:eastAsiaTheme="minorEastAsia"/>
        </w:rPr>
        <w:t xml:space="preserve"> is the X-ray wavelength. </w:t>
      </w:r>
      <w:bookmarkStart w:id="0" w:name="_GoBack"/>
      <w:bookmarkEnd w:id="0"/>
    </w:p>
    <w:p w:rsidR="008B7878" w:rsidRPr="000330C3" w:rsidRDefault="008B7878" w:rsidP="008B7878">
      <w:pPr>
        <w:spacing w:line="480" w:lineRule="auto"/>
        <w:rPr>
          <w:rFonts w:eastAsiaTheme="minorEastAsia"/>
        </w:rPr>
      </w:pPr>
      <w:r>
        <w:rPr>
          <w:rFonts w:eastAsiaTheme="minorEastAsia"/>
        </w:rPr>
        <w:t xml:space="preserve">Scattering profiles must be acquired from both a solution containing the sample of interest, and from its corresponding buffer. Subtracting the buffer scattering profile from the sample profile removes </w:t>
      </w:r>
      <w:r w:rsidRPr="000330C3">
        <w:rPr>
          <w:rFonts w:eastAsiaTheme="minorEastAsia"/>
        </w:rPr>
        <w:t>scattering contributions from the beamline, the sample cell, and the buffer itself.</w:t>
      </w:r>
    </w:p>
    <w:p w:rsidR="008B7878" w:rsidRDefault="008B7878" w:rsidP="000330C3">
      <w:pPr>
        <w:spacing w:line="480" w:lineRule="auto"/>
        <w:rPr>
          <w:rFonts w:eastAsiaTheme="minorEastAsia"/>
        </w:rPr>
      </w:pPr>
      <w:r w:rsidRPr="000330C3">
        <w:rPr>
          <w:rFonts w:eastAsiaTheme="minorEastAsia"/>
        </w:rPr>
        <w:t>The buffer-subtracted scattering profile holds information about the overall size and shape of the molecule, as well as a measure of its compactness</w:t>
      </w:r>
      <w:r w:rsidR="001B29DE">
        <w:rPr>
          <w:rFonts w:eastAsiaTheme="minorEastAsia"/>
        </w:rPr>
        <w:fldChar w:fldCharType="begin" w:fldLock="1"/>
      </w:r>
      <w:r w:rsidR="001B29DE">
        <w:rPr>
          <w:rFonts w:eastAsiaTheme="minorEastAsia"/>
        </w:rPr>
        <w:instrText xml:space="preserve">ADDIN CSL_CITATION {"citationItems":[{"id":"ITEM-1","itemData":{"ISSN":"0033-5835","PMID":"14686102","abstract":"A self-contained presentation of the main concepts and methods for interpretation of X-ray and neutron-scattering patterns of biological macromolecules in solution, including a reminder of the basics of X-ray and neutron scattering and a brief overview of relevant aspects of modern instrumentation, is given. For monodisperse solutions the experimental data yield the scattering intensity of the macromolecules, which depends on the contrast between the solvent and the particles as well as on their shape and internal scattering density fluctuations, and the structure factor, which is related to the interactions between macromolecules. After a brief analysis of the information content of the scattering intensity, the two main approaches for modelling the shape and/or structure of macromolecules and the global minimization schemes used in the calculations are presented. The first approach is based, in its more advanced version, on the spherical harmonics approximation and relies on few parameters, whereas the second one uses bead models with thousands of parameters. Extensions of bead modelling can be used to model domain structure and missing parts in high-resolution structures. Methods for computing the scattering patterns from atomic models including the contribution of the hydration shell are discussed and examples are given, which also illustrate that significant differences sometimes exist between crystal and solution structures. These differences are in some cases explainable in terms of rigid-body motions of parts of the structures. Results of two extensive studies--on ribosomes and on the allosteric protein aspartate transcarbamoylase--illustrate the application of the various methods. The unique bridge between equilibrium structures and thermodynamic or kinetic aspects provided by scattering techniques is illustrated by modelling of intermolecular interactions, including crystallization, based on an analysis of the structure factor and recent time-resolved work on assembly and protein folding.","author":[{"dropping-particle":"","family":"Koch","given":"Michel H","non-dropping-particle":"","parse-names":false,"suffix":""},{"dropping-particle":"","family":"Vachette","given":"Patrice","non-dropping-particle":"","parse-names":false,"suffix":""},{"dropping-particle":"","family":"Svergun","given":"Dmitri I","non-dropping-particle":"","parse-names":false,"suffix":""}],"container-title":"Quarterly reviews of biophysics","id":"ITEM-1","issue":"2","issued":{"date-parts":[["2003","5"]]},"page":"147-227","title":"Small-angle scattering: a view on the properties, structures and structural changes of biological macromolecules in solution.","type":"article-journal","volume":"36"},"uris":["http://www.mendeley.com/documents/?uuid=2ddf2df7-1ab1-347a-b72d-57313e5f888c"]},{"id":"ITEM-2","itemData":{"DOI":"10.1038/nprot.2014.116","ISSN":"1750-2799","PMID":"24967622","abstract":"With recent advances in data analysis algorithms, X-ray detectors and synchrotron sources, small-angle X-ray scattering (SAXS) has become much more accessible to the structural biology community. Although limited to </w:instrText>
      </w:r>
      <w:r w:rsidR="001B29DE">
        <w:rPr>
          <w:rFonts w:ascii="Cambria Math" w:eastAsiaTheme="minorEastAsia" w:hAnsi="Cambria Math" w:cs="Cambria Math"/>
        </w:rPr>
        <w:instrText>∼</w:instrText>
      </w:r>
      <w:r w:rsidR="001B29DE">
        <w:rPr>
          <w:rFonts w:eastAsiaTheme="minorEastAsia"/>
        </w:rPr>
        <w:instrText xml:space="preserve">10 </w:instrText>
      </w:r>
      <w:r w:rsidR="001B29DE">
        <w:rPr>
          <w:rFonts w:ascii="Calibri" w:eastAsiaTheme="minorEastAsia" w:hAnsi="Calibri" w:cs="Calibri"/>
        </w:rPr>
        <w:instrText>Å</w:instrText>
      </w:r>
      <w:r w:rsidR="001B29DE">
        <w:rPr>
          <w:rFonts w:eastAsiaTheme="minorEastAsia"/>
        </w:rPr>
        <w:instrText xml:space="preserve"> resolution, SAXS can provide a wealth of structural information on biomolecules in solution and is compatible with a wide range of experimental conditions. SAXS is thus an attractive alternative when crystallography is not possible. Moreover, advanced use of SAXS can provide unique insight into biomolecular behavior that can only be observed in solution, such as large conformational changes and transient protein-protein interactions. Unlike crystal diffraction data, however, solution scattering data are subtle in appearance, highly sensitive to sample quality and experimental errors and easily misinterpreted. In addition, synchrotron beamlines that are dedicated to SAXS are often unfamiliar to the nonspecialist. Here we present a series of procedures that can be used for SAXS data collection and basic cross-checks designed to detect and avoid aggregation, concentration effects, radiation damage, buffer mismatch and other common problems. Human serum albumin (HSA) serves as a convenient and easily replicated example of just how subtle these problems can sometimes be, but also of how proper technique can yield pristine data even in problematic cases. Because typical data collection times at a synchrotron are only one to several days, we recommend that the sample purity, homogeneity and solubility be extensively optimized before the experiment.","author":[{"dropping-particle":"","family":"Skou","given":"Soren","non-dropping-particle":"","parse-names":false,"suffix":""},{"dropping-particle":"","family":"Gillilan","given":"Richard E","non-dropping-particle":"","parse-names":false,"suffix":""},{"dropping-particle":"","family":"Ando","given":"Nozomi","non-dropping-particle":"","parse-names":false,"suffix":""}],"container-title":"Nature protocols","id":"ITEM-2","issue":"7","issued":{"date-parts":[["2014","7","26"]]},"page":"1727-39","title":"Synchrotron-based small-angle X-ray scattering of proteins in solution.","type":"article-journal","volume":"9"},"uris":["http://www.mendeley.com/documents/?uuid=54d50925-7945-33f5-ad5e-2d50fedcdded"]}],"mendeley":{"formattedCitation":"&lt;sup&gt;1,2&lt;/sup&gt;","plainTextFormattedCitation":"1,2","previouslyFormattedCitation":"&lt;sup&gt;1,2&lt;/sup&gt;"},"properties":{"noteIndex":0},"schema":"https://github.com/citation-style-language/schema/raw/master/csl-citation.json"}</w:instrText>
      </w:r>
      <w:r w:rsidR="001B29DE">
        <w:rPr>
          <w:rFonts w:eastAsiaTheme="minorEastAsia"/>
        </w:rPr>
        <w:fldChar w:fldCharType="separate"/>
      </w:r>
      <w:r w:rsidR="001B29DE" w:rsidRPr="001B29DE">
        <w:rPr>
          <w:rFonts w:eastAsiaTheme="minorEastAsia"/>
          <w:noProof/>
          <w:vertAlign w:val="superscript"/>
        </w:rPr>
        <w:t>1,2</w:t>
      </w:r>
      <w:r w:rsidR="001B29DE">
        <w:rPr>
          <w:rFonts w:eastAsiaTheme="minorEastAsia"/>
        </w:rPr>
        <w:fldChar w:fldCharType="end"/>
      </w:r>
      <w:r w:rsidRPr="000330C3">
        <w:rPr>
          <w:rFonts w:eastAsiaTheme="minorEastAsia"/>
        </w:rPr>
        <w:t>.</w:t>
      </w:r>
    </w:p>
    <w:p w:rsidR="00DD742B" w:rsidRDefault="00DD742B" w:rsidP="005C42A5">
      <w:pPr>
        <w:spacing w:line="480" w:lineRule="auto"/>
        <w:outlineLvl w:val="0"/>
        <w:rPr>
          <w:b/>
        </w:rPr>
      </w:pPr>
    </w:p>
    <w:p w:rsidR="00DD742B" w:rsidRDefault="00DD742B" w:rsidP="005C42A5">
      <w:pPr>
        <w:spacing w:line="480" w:lineRule="auto"/>
        <w:outlineLvl w:val="0"/>
        <w:rPr>
          <w:b/>
        </w:rPr>
      </w:pPr>
    </w:p>
    <w:p w:rsidR="005C42A5" w:rsidRDefault="00654D23" w:rsidP="005C42A5">
      <w:pPr>
        <w:spacing w:line="480" w:lineRule="auto"/>
        <w:outlineLvl w:val="0"/>
        <w:rPr>
          <w:b/>
        </w:rPr>
      </w:pPr>
      <w:r>
        <w:rPr>
          <w:b/>
        </w:rPr>
        <w:lastRenderedPageBreak/>
        <w:t>Ensuring</w:t>
      </w:r>
      <w:r w:rsidR="005C42A5">
        <w:rPr>
          <w:b/>
        </w:rPr>
        <w:t xml:space="preserve"> </w:t>
      </w:r>
      <w:r>
        <w:rPr>
          <w:b/>
        </w:rPr>
        <w:t>SAXS</w:t>
      </w:r>
      <w:r w:rsidR="005C42A5">
        <w:rPr>
          <w:b/>
        </w:rPr>
        <w:t xml:space="preserve"> data quality</w:t>
      </w:r>
      <w:r>
        <w:rPr>
          <w:b/>
        </w:rPr>
        <w:t xml:space="preserve"> for RNA experiments</w:t>
      </w:r>
    </w:p>
    <w:p w:rsidR="005C42A5" w:rsidRDefault="005C42A5" w:rsidP="000330C3">
      <w:pPr>
        <w:spacing w:line="480" w:lineRule="auto"/>
        <w:rPr>
          <w:rFonts w:eastAsiaTheme="minorEastAsia"/>
        </w:rPr>
      </w:pPr>
      <w:r>
        <w:rPr>
          <w:rFonts w:eastAsiaTheme="minorEastAsia"/>
        </w:rPr>
        <w:t xml:space="preserve">SAXS experiments are performed on liquid samples with molecules freely diffusing in the buffer solution. The basic assumption in any good and reliable SAXS measurement is sample homogeneity and </w:t>
      </w:r>
      <w:r w:rsidR="00654D23">
        <w:rPr>
          <w:rFonts w:eastAsiaTheme="minorEastAsia"/>
        </w:rPr>
        <w:t xml:space="preserve">before any size and shape parameters can be deduced from the scattering profile, </w:t>
      </w:r>
      <w:r w:rsidR="003E1FF2">
        <w:rPr>
          <w:rFonts w:eastAsiaTheme="minorEastAsia"/>
        </w:rPr>
        <w:t xml:space="preserve">that </w:t>
      </w:r>
      <w:r w:rsidR="00654D23">
        <w:rPr>
          <w:rFonts w:eastAsiaTheme="minorEastAsia"/>
        </w:rPr>
        <w:t>the</w:t>
      </w:r>
      <w:r w:rsidR="003E1FF2">
        <w:rPr>
          <w:rFonts w:eastAsiaTheme="minorEastAsia"/>
        </w:rPr>
        <w:t xml:space="preserve"> diffusing</w:t>
      </w:r>
      <w:r w:rsidR="00654D23">
        <w:rPr>
          <w:rFonts w:eastAsiaTheme="minorEastAsia"/>
        </w:rPr>
        <w:t xml:space="preserve"> molecules </w:t>
      </w:r>
      <w:r w:rsidR="003E1FF2">
        <w:rPr>
          <w:rFonts w:eastAsiaTheme="minorEastAsia"/>
        </w:rPr>
        <w:t>are</w:t>
      </w:r>
      <w:r w:rsidR="00654D23">
        <w:rPr>
          <w:rFonts w:eastAsiaTheme="minorEastAsia"/>
        </w:rPr>
        <w:t xml:space="preserve"> free from interparticle interactions. This is especially true when working with DNA and RNA molecules because of the inherent negative charge of the nucleic acid phosphate backbone. At low salt concentrations, where the negative charge around the RNA is not fully </w:t>
      </w:r>
      <w:r w:rsidR="00DD742B">
        <w:rPr>
          <w:rFonts w:eastAsiaTheme="minorEastAsia"/>
        </w:rPr>
        <w:t xml:space="preserve">locally </w:t>
      </w:r>
      <w:r w:rsidR="00654D23">
        <w:rPr>
          <w:rFonts w:eastAsiaTheme="minorEastAsia"/>
        </w:rPr>
        <w:t xml:space="preserve">charge compensated by monovalent and divalent ions, RNA molecules can </w:t>
      </w:r>
      <w:r w:rsidR="00DD742B">
        <w:rPr>
          <w:rFonts w:eastAsiaTheme="minorEastAsia"/>
        </w:rPr>
        <w:t xml:space="preserve">experience </w:t>
      </w:r>
      <w:r w:rsidR="00654D23">
        <w:rPr>
          <w:rFonts w:eastAsiaTheme="minorEastAsia"/>
        </w:rPr>
        <w:t>repulsive interactions. At higher divalent ion concentration, RNA molecules can associat</w:t>
      </w:r>
      <w:r w:rsidR="00A426BE">
        <w:rPr>
          <w:rFonts w:eastAsiaTheme="minorEastAsia"/>
        </w:rPr>
        <w:t>e</w:t>
      </w:r>
      <w:r w:rsidR="003E1FF2">
        <w:rPr>
          <w:rFonts w:eastAsiaTheme="minorEastAsia"/>
        </w:rPr>
        <w:t xml:space="preserve"> because some RNA helices have a tendency to stack on top of each other or </w:t>
      </w:r>
      <w:r w:rsidR="00A426BE">
        <w:rPr>
          <w:rFonts w:eastAsiaTheme="minorEastAsia"/>
        </w:rPr>
        <w:t xml:space="preserve">to </w:t>
      </w:r>
      <w:r w:rsidR="003E1FF2">
        <w:rPr>
          <w:rFonts w:eastAsiaTheme="minorEastAsia"/>
        </w:rPr>
        <w:t>form dimers</w:t>
      </w:r>
      <w:r w:rsidR="00654D23">
        <w:rPr>
          <w:rFonts w:eastAsiaTheme="minorEastAsia"/>
        </w:rPr>
        <w:t>. We have taken advantage of this property of DNA and RNA in SAXS experiments to study charge screening and counterion distributions</w:t>
      </w:r>
      <w:r w:rsidR="001B29DE">
        <w:rPr>
          <w:rFonts w:eastAsiaTheme="minorEastAsia"/>
        </w:rPr>
        <w:fldChar w:fldCharType="begin" w:fldLock="1"/>
      </w:r>
      <w:r w:rsidR="001B29DE">
        <w:rPr>
          <w:rFonts w:eastAsiaTheme="minorEastAsia"/>
        </w:rPr>
        <w:instrText>ADDIN CSL_CITATION {"citationItems":[{"id":"ITEM-1","itemData":{"DOI":"10.1093/nar/gkp257","ISSN":"1362-4962","PMID":"19395592","abstract":"The recent discovery of the RNA interference mechanism emphasizes the biological importance of short, isolated, double-stranded (ds) RNA helices and calls for a complete understanding of the biophysical properties of dsRNA. However, most previous studies of the electrostatics of nucleic acid duplexes have focused on DNA. Here, we present a comparative investigation of electrostatic effects in RNA and DNA. Using resonant (anomalous) and non-resonant small-angle X-ray scattering, we characterized the charge screening efficiency and counterion distribution around short (25 bp) dsDNA and RNA molecules of comparable sequence. Consistent with theoretical predictions, we find counterion mediated screening to be more efficient for dsRNA than dsDNA. Furthermore, the topology of the RNA A-form helix alters the spatial distribution of counterions relative to B-form DNA. The experimental results reported here agree well with ion-size-corrected non-linear Poisson-Boltzmann calculations. We propose that differences in electrostatic properties aid in selective recognition of different types of short nucleic acid helices by target binding partners.","author":[{"dropping-particle":"","family":"Pabit","given":"Suzette A","non-dropping-particle":"","parse-names":false,"suffix":""},{"dropping-particle":"","family":"Qiu","given":"Xiangyun","non-dropping-particle":"","parse-names":false,"suffix":""},{"dropping-particle":"","family":"Lamb","given":"Jessica S","non-dropping-particle":"","parse-names":false,"suffix":""},{"dropping-particle":"","family":"Li","given":"Li","non-dropping-particle":"","parse-names":false,"suffix":""},{"dropping-particle":"","family":"Meisburger","given":"Steve P","non-dropping-particle":"","parse-names":false,"suffix":""},{"dropping-particle":"","family":"Pollack","given":"Lois","non-dropping-particle":"","parse-names":false,"suffix":""}],"container-title":"Nucleic acids research","id":"ITEM-1","issue":"12","issued":{"date-parts":[["2009","7"]]},"page":"3887-96","title":"Both helix topology and counterion distribution contribute to the more effective charge screening in dsRNA compared with dsDNA.","type":"article-journal","volume":"37"},"uris":["http://www.mendeley.com/documents/?uuid=87742645-14ed-34c6-ad9d-e50c2849e49c"]}],"mendeley":{"formattedCitation":"&lt;sup&gt;3&lt;/sup&gt;","plainTextFormattedCitation":"3","previouslyFormattedCitation":"&lt;sup&gt;3&lt;/sup&gt;"},"properties":{"noteIndex":0},"schema":"https://github.com/citation-style-language/schema/raw/master/csl-citation.json"}</w:instrText>
      </w:r>
      <w:r w:rsidR="001B29DE">
        <w:rPr>
          <w:rFonts w:eastAsiaTheme="minorEastAsia"/>
        </w:rPr>
        <w:fldChar w:fldCharType="separate"/>
      </w:r>
      <w:r w:rsidR="001B29DE" w:rsidRPr="001B29DE">
        <w:rPr>
          <w:rFonts w:eastAsiaTheme="minorEastAsia"/>
          <w:noProof/>
          <w:vertAlign w:val="superscript"/>
        </w:rPr>
        <w:t>3</w:t>
      </w:r>
      <w:r w:rsidR="001B29DE">
        <w:rPr>
          <w:rFonts w:eastAsiaTheme="minorEastAsia"/>
        </w:rPr>
        <w:fldChar w:fldCharType="end"/>
      </w:r>
      <w:r w:rsidR="00654D23">
        <w:rPr>
          <w:rFonts w:eastAsiaTheme="minorEastAsia"/>
        </w:rPr>
        <w:t xml:space="preserve">. In doing so, we have also established experimental benchmarks to ensure that RNA samples for SAXS experiments are not affected by </w:t>
      </w:r>
      <w:r w:rsidR="003E1FF2">
        <w:rPr>
          <w:rFonts w:eastAsiaTheme="minorEastAsia"/>
        </w:rPr>
        <w:t xml:space="preserve">repulsive or attractive forces. </w:t>
      </w:r>
    </w:p>
    <w:p w:rsidR="00D33B54" w:rsidRPr="000330C3" w:rsidRDefault="003E1FF2" w:rsidP="00D33B54">
      <w:pPr>
        <w:spacing w:line="480" w:lineRule="auto"/>
        <w:rPr>
          <w:rFonts w:eastAsiaTheme="minorEastAsia"/>
        </w:rPr>
      </w:pPr>
      <w:r>
        <w:rPr>
          <w:rFonts w:eastAsiaTheme="minorEastAsia"/>
        </w:rPr>
        <w:t xml:space="preserve">For the 60-nucleotide GAC RNA, we find </w:t>
      </w:r>
      <w:r w:rsidR="00E21A8A">
        <w:rPr>
          <w:rFonts w:eastAsiaTheme="minorEastAsia"/>
        </w:rPr>
        <w:t xml:space="preserve">no interparticle interactions for SAXS experiments in buffers containing </w:t>
      </w:r>
      <w:r>
        <w:rPr>
          <w:rFonts w:eastAsiaTheme="minorEastAsia"/>
        </w:rPr>
        <w:t>100 mM monovalent salt and</w:t>
      </w:r>
      <w:r w:rsidR="00E21A8A">
        <w:rPr>
          <w:rFonts w:eastAsiaTheme="minorEastAsia"/>
        </w:rPr>
        <w:t xml:space="preserve"> for</w:t>
      </w:r>
      <w:r>
        <w:rPr>
          <w:rFonts w:eastAsiaTheme="minorEastAsia"/>
        </w:rPr>
        <w:t xml:space="preserve"> </w:t>
      </w:r>
      <w:r w:rsidR="00E21A8A">
        <w:rPr>
          <w:rFonts w:eastAsiaTheme="minorEastAsia"/>
        </w:rPr>
        <w:t xml:space="preserve">RNA </w:t>
      </w:r>
      <w:r>
        <w:rPr>
          <w:rFonts w:eastAsiaTheme="minorEastAsia"/>
        </w:rPr>
        <w:t>concentrations at or below 100 micromolar</w:t>
      </w:r>
      <w:r w:rsidR="00E21A8A">
        <w:rPr>
          <w:rFonts w:eastAsiaTheme="minorEastAsia"/>
        </w:rPr>
        <w:t xml:space="preserve">. </w:t>
      </w:r>
      <w:r w:rsidR="00A72528">
        <w:rPr>
          <w:rFonts w:eastAsiaTheme="minorEastAsia"/>
        </w:rPr>
        <w:t xml:space="preserve">In the absence of these interactions, we can make accurate measurements of </w:t>
      </w:r>
      <w:r>
        <w:rPr>
          <w:rFonts w:eastAsiaTheme="minorEastAsia"/>
        </w:rPr>
        <w:t xml:space="preserve"> molecular siz</w:t>
      </w:r>
      <w:r w:rsidR="00A72528">
        <w:rPr>
          <w:rFonts w:eastAsiaTheme="minorEastAsia"/>
        </w:rPr>
        <w:t xml:space="preserve">e (through </w:t>
      </w:r>
      <w:r>
        <w:rPr>
          <w:rFonts w:eastAsiaTheme="minorEastAsia"/>
        </w:rPr>
        <w:t>Radius of Gyration (Rg)</w:t>
      </w:r>
      <w:r w:rsidR="00A72528">
        <w:rPr>
          <w:rFonts w:eastAsiaTheme="minorEastAsia"/>
        </w:rPr>
        <w:t>)</w:t>
      </w:r>
      <w:r>
        <w:rPr>
          <w:rFonts w:eastAsiaTheme="minorEastAsia"/>
        </w:rPr>
        <w:t xml:space="preserve"> and shape </w:t>
      </w:r>
      <w:r w:rsidR="00A72528">
        <w:rPr>
          <w:rFonts w:eastAsiaTheme="minorEastAsia"/>
        </w:rPr>
        <w:t>(</w:t>
      </w:r>
      <w:r>
        <w:rPr>
          <w:rFonts w:eastAsiaTheme="minorEastAsia"/>
        </w:rPr>
        <w:t xml:space="preserve">from </w:t>
      </w:r>
      <w:r w:rsidR="00E15C4B">
        <w:rPr>
          <w:rFonts w:eastAsiaTheme="minorEastAsia"/>
        </w:rPr>
        <w:t xml:space="preserve">Kratky plots </w:t>
      </w:r>
      <w:r w:rsidR="00A72528">
        <w:rPr>
          <w:rFonts w:eastAsiaTheme="minorEastAsia"/>
        </w:rPr>
        <w:t xml:space="preserve">of </w:t>
      </w:r>
      <w:r w:rsidR="00E15C4B">
        <w:rPr>
          <w:rFonts w:eastAsiaTheme="minorEastAsia"/>
        </w:rPr>
        <w:t xml:space="preserve">Intensity </w:t>
      </w:r>
      <w:r w:rsidR="00E15C4B">
        <w:rPr>
          <w:rFonts w:eastAsiaTheme="minorEastAsia" w:cstheme="minorHAnsi"/>
        </w:rPr>
        <w:t>×</w:t>
      </w:r>
      <w:r w:rsidR="00E15C4B">
        <w:rPr>
          <w:rFonts w:eastAsiaTheme="minorEastAsia"/>
        </w:rPr>
        <w:t xml:space="preserve"> q</w:t>
      </w:r>
      <w:r w:rsidR="00E15C4B" w:rsidRPr="00E15C4B">
        <w:rPr>
          <w:rFonts w:eastAsiaTheme="minorEastAsia"/>
          <w:vertAlign w:val="superscript"/>
        </w:rPr>
        <w:t>2</w:t>
      </w:r>
      <w:r w:rsidR="00E15C4B">
        <w:rPr>
          <w:rFonts w:eastAsiaTheme="minorEastAsia"/>
        </w:rPr>
        <w:t xml:space="preserve"> vs. q</w:t>
      </w:r>
      <w:r w:rsidR="00A72528">
        <w:rPr>
          <w:rFonts w:eastAsiaTheme="minorEastAsia"/>
        </w:rPr>
        <w:t>)</w:t>
      </w:r>
      <w:r w:rsidR="00E15C4B">
        <w:rPr>
          <w:rFonts w:eastAsiaTheme="minorEastAsia"/>
        </w:rPr>
        <w:t xml:space="preserve">. </w:t>
      </w:r>
      <w:r w:rsidR="00D33B54">
        <w:rPr>
          <w:rFonts w:eastAsiaTheme="minorEastAsia"/>
        </w:rPr>
        <w:t>One way we ensure the absence of interparticle association is by doing a</w:t>
      </w:r>
      <w:r w:rsidR="0074383E">
        <w:rPr>
          <w:rFonts w:eastAsiaTheme="minorEastAsia"/>
        </w:rPr>
        <w:t>n RNA</w:t>
      </w:r>
      <w:r w:rsidR="00D33B54">
        <w:rPr>
          <w:rFonts w:eastAsiaTheme="minorEastAsia"/>
        </w:rPr>
        <w:t xml:space="preserve"> concentration series as show</w:t>
      </w:r>
      <w:r w:rsidR="0074383E">
        <w:rPr>
          <w:rFonts w:eastAsiaTheme="minorEastAsia"/>
        </w:rPr>
        <w:t>n</w:t>
      </w:r>
      <w:r w:rsidR="00D33B54">
        <w:rPr>
          <w:rFonts w:eastAsiaTheme="minorEastAsia"/>
        </w:rPr>
        <w:t xml:space="preserve"> in Figure S2</w:t>
      </w:r>
      <w:r w:rsidR="0074383E">
        <w:rPr>
          <w:rFonts w:eastAsiaTheme="minorEastAsia"/>
        </w:rPr>
        <w:t>.  W</w:t>
      </w:r>
      <w:r w:rsidR="00D33B54">
        <w:rPr>
          <w:rFonts w:eastAsiaTheme="minorEastAsia"/>
        </w:rPr>
        <w:t xml:space="preserve">e compare </w:t>
      </w:r>
      <w:r w:rsidR="00D33B54">
        <w:t>SAXS intensity profiles, I vs. q, of samples at two different GAC RNA concentrations, 30 and 60 micromolar RNA at 3 salt conditions: 100 mM KCl, 100 mM KCl + 1 mM MgCl</w:t>
      </w:r>
      <w:r w:rsidR="00D33B54" w:rsidRPr="00D33B54">
        <w:rPr>
          <w:vertAlign w:val="subscript"/>
        </w:rPr>
        <w:t>2</w:t>
      </w:r>
      <w:r w:rsidR="00D33B54">
        <w:t>, and 100 mM KCl + 10 mM MgCl</w:t>
      </w:r>
      <w:r w:rsidR="00D33B54" w:rsidRPr="00D33B54">
        <w:rPr>
          <w:vertAlign w:val="subscript"/>
        </w:rPr>
        <w:t>2</w:t>
      </w:r>
      <w:r w:rsidR="00D33B54">
        <w:t xml:space="preserve">.  When the I vs. q </w:t>
      </w:r>
      <w:r w:rsidR="0074383E">
        <w:t xml:space="preserve">curves </w:t>
      </w:r>
      <w:r w:rsidR="00D33B54">
        <w:t>coincide, there is no evidence of concentration-dependent interparticle interactions. However, in the case of the rightmost panel</w:t>
      </w:r>
      <w:r w:rsidR="0074383E">
        <w:t xml:space="preserve"> containing</w:t>
      </w:r>
      <w:r w:rsidR="00D33B54">
        <w:t xml:space="preserve"> 100 mM KCl + 10 mM MgCl</w:t>
      </w:r>
      <w:r w:rsidR="00D33B54" w:rsidRPr="00D33B54">
        <w:rPr>
          <w:vertAlign w:val="subscript"/>
        </w:rPr>
        <w:t>2</w:t>
      </w:r>
      <w:r w:rsidR="00D33B54">
        <w:t>, we observe an u</w:t>
      </w:r>
      <w:r w:rsidR="00B97E8A">
        <w:t xml:space="preserve">pturn at low q for the higher RNA concentration. This is clear signature of micro-aggregates </w:t>
      </w:r>
      <w:r w:rsidR="0074383E">
        <w:lastRenderedPageBreak/>
        <w:t xml:space="preserve">that </w:t>
      </w:r>
      <w:r w:rsidR="00B97E8A">
        <w:t>affect the SAXS data</w:t>
      </w:r>
      <w:r w:rsidR="0074383E">
        <w:t xml:space="preserve">.  We </w:t>
      </w:r>
      <w:r w:rsidR="00B97E8A">
        <w:t>did not include the Rg’s determined from this data set in Figure 2 of the main text.</w:t>
      </w:r>
    </w:p>
    <w:p w:rsidR="007A4E8A" w:rsidRDefault="007A4E8A" w:rsidP="000330C3">
      <w:pPr>
        <w:spacing w:line="480" w:lineRule="auto"/>
        <w:rPr>
          <w:rFonts w:eastAsiaTheme="minorEastAsia"/>
        </w:rPr>
      </w:pPr>
      <w:r w:rsidRPr="007A4E8A">
        <w:rPr>
          <w:rFonts w:eastAsiaTheme="minorEastAsia"/>
          <w:noProof/>
        </w:rPr>
        <w:drawing>
          <wp:inline distT="0" distB="0" distL="0" distR="0">
            <wp:extent cx="2000250" cy="1600198"/>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6306"/>
                    <a:stretch/>
                  </pic:blipFill>
                  <pic:spPr bwMode="auto">
                    <a:xfrm>
                      <a:off x="0" y="0"/>
                      <a:ext cx="2000253" cy="1600200"/>
                    </a:xfrm>
                    <a:prstGeom prst="rect">
                      <a:avLst/>
                    </a:prstGeom>
                    <a:noFill/>
                    <a:ln>
                      <a:noFill/>
                    </a:ln>
                    <a:extLst>
                      <a:ext uri="{53640926-AAD7-44D8-BBD7-CCE9431645EC}">
                        <a14:shadowObscured xmlns:a14="http://schemas.microsoft.com/office/drawing/2010/main"/>
                      </a:ext>
                    </a:extLst>
                  </pic:spPr>
                </pic:pic>
              </a:graphicData>
            </a:graphic>
          </wp:inline>
        </w:drawing>
      </w:r>
      <w:r w:rsidR="00530205" w:rsidRPr="00530205">
        <w:rPr>
          <w:rFonts w:eastAsiaTheme="minorEastAsia"/>
        </w:rPr>
        <w:t xml:space="preserve"> </w:t>
      </w:r>
      <w:r w:rsidR="00530205" w:rsidRPr="00530205">
        <w:rPr>
          <w:rFonts w:eastAsiaTheme="minorEastAsia"/>
          <w:noProof/>
        </w:rPr>
        <w:drawing>
          <wp:inline distT="0" distB="0" distL="0" distR="0">
            <wp:extent cx="1866109" cy="1599565"/>
            <wp:effectExtent l="0" t="0" r="127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49" r="6305"/>
                    <a:stretch/>
                  </pic:blipFill>
                  <pic:spPr bwMode="auto">
                    <a:xfrm>
                      <a:off x="0" y="0"/>
                      <a:ext cx="1866850" cy="1600200"/>
                    </a:xfrm>
                    <a:prstGeom prst="rect">
                      <a:avLst/>
                    </a:prstGeom>
                    <a:noFill/>
                    <a:ln>
                      <a:noFill/>
                    </a:ln>
                    <a:extLst>
                      <a:ext uri="{53640926-AAD7-44D8-BBD7-CCE9431645EC}">
                        <a14:shadowObscured xmlns:a14="http://schemas.microsoft.com/office/drawing/2010/main"/>
                      </a:ext>
                    </a:extLst>
                  </pic:spPr>
                </pic:pic>
              </a:graphicData>
            </a:graphic>
          </wp:inline>
        </w:drawing>
      </w:r>
      <w:r w:rsidR="00530205" w:rsidRPr="00530205">
        <w:rPr>
          <w:rFonts w:eastAsiaTheme="minorEastAsia"/>
        </w:rPr>
        <w:t xml:space="preserve"> </w:t>
      </w:r>
      <w:r w:rsidR="00530205" w:rsidRPr="00530205">
        <w:rPr>
          <w:rFonts w:eastAsiaTheme="minorEastAsia"/>
          <w:noProof/>
        </w:rPr>
        <w:drawing>
          <wp:inline distT="0" distB="0" distL="0" distR="0">
            <wp:extent cx="1875630" cy="15995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249" r="5859"/>
                    <a:stretch/>
                  </pic:blipFill>
                  <pic:spPr bwMode="auto">
                    <a:xfrm>
                      <a:off x="0" y="0"/>
                      <a:ext cx="1876375" cy="1600200"/>
                    </a:xfrm>
                    <a:prstGeom prst="rect">
                      <a:avLst/>
                    </a:prstGeom>
                    <a:noFill/>
                    <a:ln>
                      <a:noFill/>
                    </a:ln>
                    <a:extLst>
                      <a:ext uri="{53640926-AAD7-44D8-BBD7-CCE9431645EC}">
                        <a14:shadowObscured xmlns:a14="http://schemas.microsoft.com/office/drawing/2010/main"/>
                      </a:ext>
                    </a:extLst>
                  </pic:spPr>
                </pic:pic>
              </a:graphicData>
            </a:graphic>
          </wp:inline>
        </w:drawing>
      </w:r>
    </w:p>
    <w:p w:rsidR="00D33B54" w:rsidRDefault="00D33B54" w:rsidP="00D33B54">
      <w:pPr>
        <w:spacing w:line="480" w:lineRule="auto"/>
      </w:pPr>
      <w:r w:rsidRPr="00E90489">
        <w:rPr>
          <w:b/>
        </w:rPr>
        <w:t>Figure S</w:t>
      </w:r>
      <w:r>
        <w:rPr>
          <w:b/>
        </w:rPr>
        <w:t xml:space="preserve">2 </w:t>
      </w:r>
      <w:r>
        <w:t>Comparison of SAXS intensity profiles, I vs. q, of samples at two different GAC RNA concentrations, 30 and 60 micromolar a</w:t>
      </w:r>
      <w:r w:rsidR="0074383E">
        <w:t>nd</w:t>
      </w:r>
      <w:r>
        <w:t xml:space="preserve"> 3 salt conditions: 100 mM KCl, 100 mM KCl + 1 mM MgCl</w:t>
      </w:r>
      <w:r w:rsidRPr="00D33B54">
        <w:rPr>
          <w:vertAlign w:val="subscript"/>
        </w:rPr>
        <w:t>2</w:t>
      </w:r>
      <w:r>
        <w:t>, and 100 mM KCl + 10 mM MgCl</w:t>
      </w:r>
      <w:r w:rsidRPr="00D33B54">
        <w:rPr>
          <w:vertAlign w:val="subscript"/>
        </w:rPr>
        <w:t>2</w:t>
      </w:r>
      <w:r>
        <w:t xml:space="preserve">.  </w:t>
      </w:r>
      <w:r w:rsidR="007A4E8A">
        <w:t>Data shown is averaged raw data.</w:t>
      </w:r>
    </w:p>
    <w:p w:rsidR="00B97E8A" w:rsidRDefault="00B97E8A" w:rsidP="00D33B54">
      <w:pPr>
        <w:spacing w:line="480" w:lineRule="auto"/>
      </w:pPr>
      <w:r>
        <w:t xml:space="preserve">Only when the SAXS profiles are interaction-free, do we proceed </w:t>
      </w:r>
      <w:r w:rsidR="00AA7874">
        <w:t xml:space="preserve">to use </w:t>
      </w:r>
      <w:r>
        <w:t>Guinier fits, shown in Figure S3, to determine Rg.</w:t>
      </w:r>
    </w:p>
    <w:p w:rsidR="00B97E8A" w:rsidRDefault="00B97E8A" w:rsidP="00D33B54">
      <w:pPr>
        <w:spacing w:line="480" w:lineRule="auto"/>
        <w:rPr>
          <w:rFonts w:eastAsiaTheme="minorEastAsia"/>
        </w:rPr>
      </w:pPr>
      <w:r w:rsidRPr="007739EB">
        <w:rPr>
          <w:noProof/>
        </w:rPr>
        <w:drawing>
          <wp:inline distT="0" distB="0" distL="0" distR="0" wp14:anchorId="029F325D" wp14:editId="305BBA75">
            <wp:extent cx="3659054"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9054" cy="2743200"/>
                    </a:xfrm>
                    <a:prstGeom prst="rect">
                      <a:avLst/>
                    </a:prstGeom>
                    <a:noFill/>
                    <a:ln>
                      <a:noFill/>
                    </a:ln>
                  </pic:spPr>
                </pic:pic>
              </a:graphicData>
            </a:graphic>
          </wp:inline>
        </w:drawing>
      </w:r>
    </w:p>
    <w:p w:rsidR="00B97E8A" w:rsidRDefault="00B97E8A" w:rsidP="00D33B54">
      <w:pPr>
        <w:spacing w:line="480" w:lineRule="auto"/>
        <w:rPr>
          <w:rFonts w:eastAsiaTheme="minorEastAsia"/>
        </w:rPr>
      </w:pPr>
      <w:r w:rsidRPr="00B97E8A">
        <w:rPr>
          <w:rFonts w:eastAsiaTheme="minorEastAsia"/>
          <w:b/>
        </w:rPr>
        <w:t>Figure S3</w:t>
      </w:r>
      <w:r>
        <w:rPr>
          <w:rFonts w:eastAsiaTheme="minorEastAsia"/>
        </w:rPr>
        <w:t xml:space="preserve">  A representative Guinier Fit </w:t>
      </w:r>
      <w:r w:rsidR="002471DB">
        <w:rPr>
          <w:rFonts w:eastAsiaTheme="minorEastAsia"/>
        </w:rPr>
        <w:t xml:space="preserve">demonstrates </w:t>
      </w:r>
      <w:r>
        <w:rPr>
          <w:rFonts w:eastAsiaTheme="minorEastAsia"/>
        </w:rPr>
        <w:t>how we calculate Rg for each sample set</w:t>
      </w:r>
    </w:p>
    <w:p w:rsidR="00B97E8A" w:rsidRPr="00B97E8A" w:rsidRDefault="00582554" w:rsidP="00D26904">
      <w:pPr>
        <w:spacing w:before="240" w:line="360" w:lineRule="auto"/>
      </w:pPr>
      <w:r>
        <w:rPr>
          <w:rFonts w:eastAsiaTheme="minorEastAsia"/>
        </w:rPr>
        <w:lastRenderedPageBreak/>
        <w:t>To ensure that our measurements are accurate, w</w:t>
      </w:r>
      <w:r w:rsidR="00B97E8A" w:rsidRPr="00B97E8A">
        <w:rPr>
          <w:rFonts w:eastAsiaTheme="minorEastAsia"/>
        </w:rPr>
        <w:t xml:space="preserve">e double checked </w:t>
      </w:r>
      <w:r>
        <w:rPr>
          <w:rFonts w:eastAsiaTheme="minorEastAsia"/>
        </w:rPr>
        <w:t xml:space="preserve">the </w:t>
      </w:r>
      <w:r w:rsidR="00B97E8A" w:rsidRPr="00B97E8A">
        <w:rPr>
          <w:rFonts w:eastAsiaTheme="minorEastAsia"/>
        </w:rPr>
        <w:t xml:space="preserve">Rg values </w:t>
      </w:r>
      <w:r>
        <w:rPr>
          <w:rFonts w:eastAsiaTheme="minorEastAsia"/>
        </w:rPr>
        <w:t xml:space="preserve">under selected conditions, </w:t>
      </w:r>
      <w:r w:rsidR="00B97E8A" w:rsidRPr="00B97E8A">
        <w:rPr>
          <w:rFonts w:eastAsiaTheme="minorEastAsia"/>
        </w:rPr>
        <w:t xml:space="preserve"> notably 100 mM KCl, and 100 mM KCl + 1 mM MgCl2, using in</w:t>
      </w:r>
      <w:r w:rsidR="004F58E8">
        <w:rPr>
          <w:rFonts w:eastAsiaTheme="minorEastAsia"/>
        </w:rPr>
        <w:t>-</w:t>
      </w:r>
      <w:r w:rsidR="00B97E8A" w:rsidRPr="00B97E8A">
        <w:rPr>
          <w:rFonts w:eastAsiaTheme="minorEastAsia"/>
        </w:rPr>
        <w:t>line Size Exclusion Chromatography (SEC)-SAXS, as recommended by the 2017 SAXS publication guideline</w:t>
      </w:r>
      <w:r w:rsidR="001B29DE">
        <w:rPr>
          <w:rFonts w:eastAsiaTheme="minorEastAsia"/>
        </w:rPr>
        <w:fldChar w:fldCharType="begin" w:fldLock="1"/>
      </w:r>
      <w:r w:rsidR="001B29DE">
        <w:rPr>
          <w:rFonts w:eastAsiaTheme="minorEastAsia"/>
        </w:rPr>
        <w:instrText>ADDIN CSL_CITATION {"citationItems":[{"id":"ITEM-1","itemData":{"DOI":"10.1107/S2059798317011597","ISSN":"2059-7983","PMID":"28876235","abstract":"In 2012, preliminary guidelines were published addressing sample quality, data acquisition and reduction, presentation of scattering data and validation, and modelling for biomolecular small-angle scattering (SAS) experiments. Biomolecular SAS has since continued to grow and authors have increasingly adopted the preliminary guidelines. In parallel, integrative/hybrid determination of biomolecular structures is a rapidly growing field that is expanding the scope of structural biology. For SAS to contribute maximally to this field, it is essential to ensure open access to the information required for evaluation of the quality of SAS samples and data, as well as the validity of SAS-based structural models. To this end, the preliminary guidelines for data presentation in a publication are reviewed and updated, and the deposition of data and associated models in a public archive is recommended. These guidelines and recommendations have been prepared in consultation with the members of the International Union of Crystallography (IUCr) Small-Angle Scattering and Journals Commissions, the Worldwide Protein Data Bank (wwPDB) Small-Angle Scattering Validation Task Force and additional experts in the field.","author":[{"dropping-particle":"","family":"Trewhella","given":"Jill","non-dropping-particle":"","parse-names":false,"suffix":""},{"dropping-particle":"","family":"Duff","given":"Anthony P","non-dropping-particle":"","parse-names":false,"suffix":""},{"dropping-particle":"","family":"Durand","given":"Dominique","non-dropping-particle":"","parse-names":false,"suffix":""},{"dropping-particle":"","family":"Gabel","given":"Frank","non-dropping-particle":"","parse-names":false,"suffix":""},{"dropping-particle":"","family":"Guss","given":"J Mitchell","non-dropping-particle":"","parse-names":false,"suffix":""},{"dropping-particle":"","family":"Hendrickson","given":"Wayne A","non-dropping-particle":"","parse-names":false,"suffix":""},{"dropping-particle":"","family":"Hura","given":"Greg L","non-dropping-particle":"","parse-names":false,"suffix":""},{"dropping-particle":"","family":"Jacques","given":"David A","non-dropping-particle":"","parse-names":false,"suffix":""},{"dropping-particle":"","family":"Kirby","given":"Nigel M","non-dropping-particle":"","parse-names":false,"suffix":""},{"dropping-particle":"","family":"Kwan","given":"Ann H","non-dropping-particle":"","parse-names":false,"suffix":""},{"dropping-particle":"","family":"Pérez","given":"Javier","non-dropping-particle":"","parse-names":false,"suffix":""},{"dropping-particle":"","family":"Pollack","given":"Lois","non-dropping-particle":"","parse-names":false,"suffix":""},{"dropping-particle":"","family":"Ryan","given":"Timothy M","non-dropping-particle":"","parse-names":false,"suffix":""},{"dropping-particle":"","family":"Sali","given":"Andrej","non-dropping-particle":"","parse-names":false,"suffix":""},{"dropping-particle":"","family":"Schneidman-Duhovny","given":"Dina","non-dropping-particle":"","parse-names":false,"suffix":""},{"dropping-particle":"","family":"Schwede","given":"Torsten","non-dropping-particle":"","parse-names":false,"suffix":""},{"dropping-particle":"","family":"Svergun","given":"Dmitri I","non-dropping-particle":"","parse-names":false,"suffix":""},{"dropping-particle":"","family":"Sugiyama","given":"Masaaki","non-dropping-particle":"","parse-names":false,"suffix":""},{"dropping-particle":"","family":"Tainer","given":"John A","non-dropping-particle":"","parse-names":false,"suffix":""},{"dropping-particle":"","family":"Vachette","given":"Patrice","non-dropping-particle":"","parse-names":false,"suffix":""},{"dropping-particle":"","family":"Westbrook","given":"John","non-dropping-particle":"","parse-names":false,"suffix":""},{"dropping-particle":"","family":"Whitten","given":"Andrew E","non-dropping-particle":"","parse-names":false,"suffix":""}],"container-title":"Acta crystallographica. Section D, Structural biology","id":"ITEM-1","issue":"Pt 9","issued":{"date-parts":[["2017","9","1"]]},"page":"710-728","title":"2017 publication guidelines for structural modelling of small-angle scattering data from biomolecules in solution: an update.","type":"article-journal","volume":"73"},"uris":["http://www.mendeley.com/documents/?uuid=09e9ac0c-8fae-37eb-9a34-26cfc7ff3c14"]}],"mendeley":{"formattedCitation":"&lt;sup&gt;4&lt;/sup&gt;","plainTextFormattedCitation":"4","previouslyFormattedCitation":"&lt;sup&gt;4&lt;/sup&gt;"},"properties":{"noteIndex":0},"schema":"https://github.com/citation-style-language/schema/raw/master/csl-citation.json"}</w:instrText>
      </w:r>
      <w:r w:rsidR="001B29DE">
        <w:rPr>
          <w:rFonts w:eastAsiaTheme="minorEastAsia"/>
        </w:rPr>
        <w:fldChar w:fldCharType="separate"/>
      </w:r>
      <w:r w:rsidR="001B29DE" w:rsidRPr="001B29DE">
        <w:rPr>
          <w:rFonts w:eastAsiaTheme="minorEastAsia"/>
          <w:noProof/>
          <w:vertAlign w:val="superscript"/>
        </w:rPr>
        <w:t>4</w:t>
      </w:r>
      <w:r w:rsidR="001B29DE">
        <w:rPr>
          <w:rFonts w:eastAsiaTheme="minorEastAsia"/>
        </w:rPr>
        <w:fldChar w:fldCharType="end"/>
      </w:r>
      <w:r w:rsidR="00B97E8A" w:rsidRPr="00B97E8A">
        <w:rPr>
          <w:rFonts w:eastAsiaTheme="minorEastAsia"/>
        </w:rPr>
        <w:t xml:space="preserve">. </w:t>
      </w:r>
      <w:r w:rsidR="0002029E">
        <w:rPr>
          <w:rFonts w:eastAsiaTheme="minorEastAsia"/>
        </w:rPr>
        <w:t xml:space="preserve">Not all </w:t>
      </w:r>
      <w:r w:rsidR="00B97E8A" w:rsidRPr="00B97E8A">
        <w:rPr>
          <w:rFonts w:eastAsiaTheme="minorEastAsia"/>
        </w:rPr>
        <w:t xml:space="preserve">Rg values </w:t>
      </w:r>
      <w:r w:rsidR="0002029E">
        <w:rPr>
          <w:rFonts w:eastAsiaTheme="minorEastAsia"/>
        </w:rPr>
        <w:t>are completely consistent with those</w:t>
      </w:r>
      <w:r w:rsidR="00B97E8A" w:rsidRPr="00B97E8A">
        <w:rPr>
          <w:rFonts w:eastAsiaTheme="minorEastAsia"/>
        </w:rPr>
        <w:t xml:space="preserve"> </w:t>
      </w:r>
      <w:r w:rsidRPr="00B97E8A">
        <w:rPr>
          <w:rFonts w:eastAsiaTheme="minorEastAsia"/>
        </w:rPr>
        <w:t xml:space="preserve">previously reported </w:t>
      </w:r>
      <w:r w:rsidR="0002029E">
        <w:rPr>
          <w:rFonts w:eastAsiaTheme="minorEastAsia"/>
        </w:rPr>
        <w:t xml:space="preserve">by </w:t>
      </w:r>
      <w:r w:rsidR="004F58E8">
        <w:rPr>
          <w:rFonts w:eastAsiaTheme="minorEastAsia"/>
        </w:rPr>
        <w:t>Grilley et al.</w:t>
      </w:r>
      <w:r w:rsidR="001B29DE">
        <w:rPr>
          <w:rFonts w:eastAsiaTheme="minorEastAsia"/>
        </w:rPr>
        <w:fldChar w:fldCharType="begin" w:fldLock="1"/>
      </w:r>
      <w:r w:rsidR="001B29DE">
        <w:rPr>
          <w:rFonts w:eastAsiaTheme="minorEastAsia"/>
        </w:rPr>
        <w:instrText>ADDIN CSL_CITATION {"citationItems":[{"id":"ITEM-1","itemData":{"DOI":"10.1021/bi062284r","ISSN":"0006-2960","PMID":"17705557","abstract":"RNA molecules in monovalent salt solutions generally adopt a set of partially folded conformations containing only secondary structure, the intermediate or I state. Addition of Mg2+ strongly stabilizes the native tertiary structure (N state) relative to the I state. In this paper, a combination of experimental and computational approaches is used to estimate the free energy of the interaction of Mg2+ with partially folded I state RNAs and to consider the possibility that Mg2+ favors \"compaction\" of the I state to a set of conformations with a higher average charge density. A sequence variant with a drastically destabilized tertiary structure was used as a mimic of I state RNA; as measured by small-angle X-ray scattering, it adopted a progressively more compact conformation over a wide Mg2+ concentration range. Average free energies of the interaction of Mg2+ with the I state mimic were obtained by a fluorescence titration method. To interpret these experimental data further, we generated molecular models of the I state and used them in calculations with the nonlinear Poisson-Boltzmann equation to estimate the change in Mg2+-RNA interaction free energy as the average I state dimensions decrease from expanded to compact. The same models were also used to reproduce quantitatively the experimental difference in excess Mg2+ between N and I states. On the basis of these experiments and calculations, I state compaction appears to enhance Mg2+-I state interaction free energies by 10-20%, but this enhancement is at most 5% of the overall Mg2+-associated stabilization free energy for this rRNA fragment.","author":[{"dropping-particle":"","family":"Grilley","given":"Dan","non-dropping-particle":"","parse-names":false,"suffix":""},{"dropping-particle":"","family":"Misra","given":"Vinod","non-dropping-particle":"","parse-names":false,"suffix":""},{"dropping-particle":"","family":"Caliskan","given":"Gokhan","non-dropping-particle":"","parse-names":false,"suffix":""},{"dropping-particle":"","family":"Draper","given":"David E","non-dropping-particle":"","parse-names":false,"suffix":""}],"container-title":"Biochemistry","id":"ITEM-1","issue":"36","issued":{"date-parts":[["2007","9","11"]]},"page":"10266-78","title":"Importance of partially unfolded conformations for Mg(2+)-induced folding of RNA tertiary structure: structural models and free energies of Mg2+ interactions.","type":"article-journal","volume":"46"},"uris":["http://www.mendeley.com/documents/?uuid=3b5961f2-0837-49b9-be65-14b2c2043bd4"]}],"mendeley":{"formattedCitation":"&lt;sup&gt;5&lt;/sup&gt;","plainTextFormattedCitation":"5","previouslyFormattedCitation":"&lt;sup&gt;5&lt;/sup&gt;"},"properties":{"noteIndex":0},"schema":"https://github.com/citation-style-language/schema/raw/master/csl-citation.json"}</w:instrText>
      </w:r>
      <w:r w:rsidR="001B29DE">
        <w:rPr>
          <w:rFonts w:eastAsiaTheme="minorEastAsia"/>
        </w:rPr>
        <w:fldChar w:fldCharType="separate"/>
      </w:r>
      <w:r w:rsidR="001B29DE" w:rsidRPr="001B29DE">
        <w:rPr>
          <w:rFonts w:eastAsiaTheme="minorEastAsia"/>
          <w:noProof/>
          <w:vertAlign w:val="superscript"/>
        </w:rPr>
        <w:t>5</w:t>
      </w:r>
      <w:r w:rsidR="001B29DE">
        <w:rPr>
          <w:rFonts w:eastAsiaTheme="minorEastAsia"/>
        </w:rPr>
        <w:fldChar w:fldCharType="end"/>
      </w:r>
      <w:r w:rsidR="00B97E8A" w:rsidRPr="00B97E8A">
        <w:rPr>
          <w:rFonts w:eastAsiaTheme="minorEastAsia"/>
        </w:rPr>
        <w:t xml:space="preserve">  </w:t>
      </w:r>
      <w:r w:rsidR="0002029E">
        <w:t>A</w:t>
      </w:r>
      <w:r w:rsidR="0002029E" w:rsidRPr="00B97E8A">
        <w:t xml:space="preserve"> </w:t>
      </w:r>
      <w:r w:rsidR="00B97E8A" w:rsidRPr="00B97E8A">
        <w:t xml:space="preserve">discrepancy </w:t>
      </w:r>
      <w:r w:rsidR="0002029E">
        <w:t xml:space="preserve"> exists </w:t>
      </w:r>
      <w:r w:rsidR="00B97E8A" w:rsidRPr="00B97E8A">
        <w:t xml:space="preserve">between our study and theirs </w:t>
      </w:r>
      <w:r w:rsidR="0002029E" w:rsidRPr="00B97E8A">
        <w:t>i</w:t>
      </w:r>
      <w:r w:rsidR="0002029E">
        <w:t>n</w:t>
      </w:r>
      <w:r w:rsidR="0002029E" w:rsidRPr="00B97E8A">
        <w:t xml:space="preserve"> </w:t>
      </w:r>
      <w:r>
        <w:t xml:space="preserve">the </w:t>
      </w:r>
      <w:r w:rsidR="00B97E8A" w:rsidRPr="00B97E8A">
        <w:t>Rg value they reported at 40 mM KCl and 0.1 mM MgCl</w:t>
      </w:r>
      <w:r w:rsidR="00B97E8A" w:rsidRPr="00B97E8A">
        <w:rPr>
          <w:vertAlign w:val="subscript"/>
        </w:rPr>
        <w:t>2</w:t>
      </w:r>
      <w:r w:rsidR="00B97E8A" w:rsidRPr="00B97E8A">
        <w:t xml:space="preserve">, </w:t>
      </w:r>
      <w:r w:rsidR="004F58E8">
        <w:t>taken at 15</w:t>
      </w:r>
      <w:r w:rsidR="004F58E8">
        <w:rPr>
          <w:rFonts w:cstheme="minorHAnsi"/>
        </w:rPr>
        <w:t>°</w:t>
      </w:r>
      <w:r w:rsidR="004F58E8">
        <w:t xml:space="preserve">C, </w:t>
      </w:r>
      <w:r w:rsidR="00B97E8A" w:rsidRPr="00B97E8A">
        <w:t>which seem</w:t>
      </w:r>
      <w:r>
        <w:t>s</w:t>
      </w:r>
      <w:r w:rsidR="00B97E8A" w:rsidRPr="00B97E8A">
        <w:t xml:space="preserve"> to match the Rg predicted from crystal structures. However, based on our measurements, the GAC RNA at 100 mM KCl and 0.1 mM MgCl</w:t>
      </w:r>
      <w:r w:rsidR="00B97E8A" w:rsidRPr="00B97E8A">
        <w:rPr>
          <w:vertAlign w:val="subscript"/>
        </w:rPr>
        <w:t>2</w:t>
      </w:r>
      <w:r w:rsidR="00B97E8A" w:rsidRPr="00B97E8A">
        <w:t xml:space="preserve"> </w:t>
      </w:r>
      <w:r w:rsidR="004F58E8">
        <w:t xml:space="preserve">at room temperature </w:t>
      </w:r>
      <w:r w:rsidR="00B97E8A" w:rsidRPr="00B97E8A">
        <w:t xml:space="preserve">is still mostly unfolded with an Rg of 24.7 </w:t>
      </w:r>
      <w:r w:rsidR="00B97E8A" w:rsidRPr="00B97E8A">
        <w:rPr>
          <w:rFonts w:cstheme="minorHAnsi"/>
        </w:rPr>
        <w:t>±</w:t>
      </w:r>
      <w:r w:rsidR="00B97E8A" w:rsidRPr="00B97E8A">
        <w:t xml:space="preserve"> 0.2 </w:t>
      </w:r>
      <w:r w:rsidR="00B97E8A" w:rsidRPr="00B97E8A">
        <w:rPr>
          <w:rFonts w:cstheme="minorHAnsi"/>
        </w:rPr>
        <w:t>Å</w:t>
      </w:r>
      <w:r w:rsidR="00B97E8A" w:rsidRPr="00B97E8A">
        <w:t xml:space="preserve">. </w:t>
      </w:r>
    </w:p>
    <w:p w:rsidR="000330C3" w:rsidRDefault="000330C3" w:rsidP="000330C3">
      <w:pPr>
        <w:pStyle w:val="NormalWeb"/>
        <w:spacing w:before="0" w:beforeAutospacing="0" w:after="0" w:afterAutospacing="0"/>
      </w:pPr>
    </w:p>
    <w:p w:rsidR="004E3A54" w:rsidRPr="008B7878" w:rsidRDefault="00892E97" w:rsidP="008B7878">
      <w:pPr>
        <w:spacing w:line="480" w:lineRule="auto"/>
      </w:pPr>
      <w:r>
        <w:rPr>
          <w:b/>
        </w:rPr>
        <w:t xml:space="preserve">TR </w:t>
      </w:r>
      <w:r w:rsidR="004E3A54">
        <w:rPr>
          <w:b/>
        </w:rPr>
        <w:t>SAXS</w:t>
      </w:r>
      <w:r>
        <w:rPr>
          <w:b/>
        </w:rPr>
        <w:t xml:space="preserve"> </w:t>
      </w:r>
      <w:r w:rsidR="004F7550">
        <w:rPr>
          <w:b/>
        </w:rPr>
        <w:t>m</w:t>
      </w:r>
      <w:r>
        <w:rPr>
          <w:b/>
        </w:rPr>
        <w:t xml:space="preserve">ixer </w:t>
      </w:r>
      <w:r w:rsidR="004F7550">
        <w:rPr>
          <w:b/>
        </w:rPr>
        <w:t>d</w:t>
      </w:r>
      <w:r>
        <w:rPr>
          <w:b/>
        </w:rPr>
        <w:t>esign</w:t>
      </w:r>
      <w:r w:rsidR="004F7550">
        <w:rPr>
          <w:b/>
        </w:rPr>
        <w:t xml:space="preserve"> and data collection</w:t>
      </w:r>
    </w:p>
    <w:p w:rsidR="005A0616" w:rsidRDefault="000F6FC7" w:rsidP="00C269F9">
      <w:pPr>
        <w:spacing w:line="480" w:lineRule="auto"/>
      </w:pPr>
      <w:r>
        <w:t xml:space="preserve">Figure </w:t>
      </w:r>
      <w:r w:rsidR="00E90489">
        <w:t>S</w:t>
      </w:r>
      <w:r w:rsidR="00B97E8A">
        <w:t>4</w:t>
      </w:r>
      <w:r w:rsidR="001619ED">
        <w:t xml:space="preserve"> a)</w:t>
      </w:r>
      <w:r>
        <w:t xml:space="preserve"> shows a schematic of the mixer used in this experiment. </w:t>
      </w:r>
      <w:r w:rsidR="000D5B36">
        <w:t>The mixer design</w:t>
      </w:r>
      <w:r w:rsidR="005A0616">
        <w:t>, fabrication,</w:t>
      </w:r>
      <w:r w:rsidR="000D5B36">
        <w:t xml:space="preserve"> and operatio</w:t>
      </w:r>
      <w:r>
        <w:t xml:space="preserve">n </w:t>
      </w:r>
      <w:r w:rsidR="005A0616">
        <w:t xml:space="preserve">are discussed in detail in the </w:t>
      </w:r>
      <w:r w:rsidR="000D5B36">
        <w:t xml:space="preserve">Supporting Information of </w:t>
      </w:r>
      <w:r>
        <w:t>Plumridge, et al.</w:t>
      </w:r>
      <w:r w:rsidR="001B29DE">
        <w:fldChar w:fldCharType="begin" w:fldLock="1"/>
      </w:r>
      <w:r w:rsidR="001B29DE">
        <w:instrText>ADDIN CSL_CITATION {"citationItems":[{"id":"ITEM-1","itemData":{"DOI":"10.1093/nar/gky363","ISSN":"1362-4962","PMID":"29762712","abstract":"Remarkable new insight has emerged into the biological role of RNA in cells. RNA folding and dynamics enable many of these newly discovered functions, calling for an understanding of RNA self-assembly and conformational dynamics. Because RNAs pass through multiple structures as they fold, an ensemble perspective is required to visualize the flow through fleetingly populated sets of states. Here, we combine microfluidic mixing technology and small angle X-ray scattering (SAXS) to measure the Mg-induced folding of a small RNA domain, the tP5abc three helix junction. Our measurements are interpreted using ensemble optimization to select atomically detailed structures that recapitulate each experimental curve. Structural ensembles, derived at key stages in both time-resolved studies and equilibrium titrations, reproduce the features of known intermediates, and more importantly, offer a powerful new structural perspective on the time-progression of folding. Distinct collapse phases along the pathway appear to be orchestrated by specific interactions with Mg ions. These key interactions subsequently direct motions of the backbone that position the partners of tertiary contacts for later bonding, and demonstrate a remarkable synergy between Mg and RNA across numerous time-scales.","author":[{"dropping-particle":"","family":"Plumridge","given":"Alex","non-dropping-particle":"","parse-names":false,"suffix":""},{"dropping-particle":"","family":"Katz","given":"Andrea M","non-dropping-particle":"","parse-names":false,"suffix":""},{"dropping-particle":"","family":"Calvey","given":"George D","non-dropping-particle":"","parse-names":false,"suffix":""},{"dropping-particle":"","family":"Elber","given":"Ron","non-dropping-particle":"","parse-names":false,"suffix":""},{"dropping-particle":"","family":"Kirmizialtin","given":"Serdal","non-dropping-particle":"","parse-names":false,"suffix":""},{"dropping-particle":"","family":"Pollack","given":"Lois","non-dropping-particle":"","parse-names":false,"suffix":""}],"container-title":"Nucleic acids research","id":"ITEM-1","issued":{"date-parts":[["2018","5","14"]]},"title":"Revealing the distinct folding phases of an RNA three-helix junction.","type":"article-journal"},"uris":["http://www.mendeley.com/documents/?uuid=5fd41e60-6ff0-38b1-87c5-61753c5845f1"]}],"mendeley":{"formattedCitation":"&lt;sup&gt;6&lt;/sup&gt;","plainTextFormattedCitation":"6","previouslyFormattedCitation":"&lt;sup&gt;6&lt;/sup&gt;"},"properties":{"noteIndex":0},"schema":"https://github.com/citation-style-language/schema/raw/master/csl-citation.json"}</w:instrText>
      </w:r>
      <w:r w:rsidR="001B29DE">
        <w:fldChar w:fldCharType="separate"/>
      </w:r>
      <w:r w:rsidR="001B29DE" w:rsidRPr="001B29DE">
        <w:rPr>
          <w:noProof/>
          <w:vertAlign w:val="superscript"/>
        </w:rPr>
        <w:t>6</w:t>
      </w:r>
      <w:r w:rsidR="001B29DE">
        <w:fldChar w:fldCharType="end"/>
      </w:r>
      <w:r>
        <w:t xml:space="preserve"> but</w:t>
      </w:r>
      <w:r w:rsidR="000D5B36">
        <w:t xml:space="preserve"> </w:t>
      </w:r>
      <w:r>
        <w:t>a</w:t>
      </w:r>
      <w:r w:rsidR="00205FBD">
        <w:t xml:space="preserve"> brief summ</w:t>
      </w:r>
      <w:r w:rsidR="006E15F4">
        <w:t>ary is provided here</w:t>
      </w:r>
      <w:r w:rsidR="00205FBD">
        <w:t xml:space="preserve">. </w:t>
      </w:r>
      <w:r w:rsidR="001B29DE">
        <w:t>Calvey et al.</w:t>
      </w:r>
      <w:r w:rsidR="001B29DE">
        <w:fldChar w:fldCharType="begin" w:fldLock="1"/>
      </w:r>
      <w:r w:rsidR="001B29DE">
        <w:instrText>ADDIN CSL_CITATION {"citationItems":[{"id":"ITEM-1","itemData":{"DOI":"10.1063/1.4961971","ISSN":"2329-7778","PMID":"27679802","abstract":"Knowledge of protein structure provides essential insight into function, enhancing our understanding of diseases and enabling new treatment development. X-ray crystallography has been used to solve the structures of more than 100 000 proteins; however, the vast majority represent long-lived states that do not capture the functional motions of these molecular machines. Reactions triggered by the addition of a ligand can be the most challenging to detect with crystallography because of the difficulty of synchronizing reactions to create detectable quantities of transient states. The development of X-ray free electron lasers (XFELs) and serial femtosecond crystallography (SFX) enables new approaches for solving protein structures following the rapid diffusion of ligands into micron sized protein crystals. Conformational changes occurring on millisecond timescales can be detected and time-resolved. Here, we describe a new XFEL injector which incorporates a microfluidic mixer to rapidly combine reactant and sample milliseconds before the sample reaches the X-ray beam. The mixing injector consists of bonded, concentric glass capillaries. The fabrication process, employing custom laser cut centering spacers and UV curable epoxy, ensures precise alignment of capillaries for repeatable, centered sample flow and dependable mixing. Crystal delivery capillaries are 50 or 75 μm in diameter and can contain an integrated filter depending on the demands of the experiment. Reaction times can be varied from submillisecond to several hundred milliseconds. The injector features rapid and uniform mixing, low sample dilution, and high hit rates. It is fully compatible with existing SFX beamlines.","author":[{"dropping-particle":"","family":"Calvey","given":"George D.","non-dropping-particle":"","parse-names":false,"suffix":""},{"dropping-particle":"","family":"Katz","given":"Andrea M.","non-dropping-particle":"","parse-names":false,"suffix":""},{"dropping-particle":"","family":"Schaffer","given":"Chris B.","non-dropping-particle":"","parse-names":false,"suffix":""},{"dropping-particle":"","family":"Pollack","given":"Lois","non-dropping-particle":"","parse-names":false,"suffix":""}],"container-title":"Structural Dynamics","id":"ITEM-1","issue":"5","issued":{"date-parts":[["2016","9"]]},"page":"054301","title":"Mixing injector enables time-resolved crystallography with high hit rate at X-ray free electron lasers","type":"article-journal","volume":"3"},"uris":["http://www.mendeley.com/documents/?uuid=167501b0-3f31-311d-a958-4938629efb86"]}],"mendeley":{"formattedCitation":"&lt;sup&gt;7&lt;/sup&gt;","plainTextFormattedCitation":"7","previouslyFormattedCitation":"&lt;sup&gt;7&lt;/sup&gt;"},"properties":{"noteIndex":0},"schema":"https://github.com/citation-style-language/schema/raw/master/csl-citation.json"}</w:instrText>
      </w:r>
      <w:r w:rsidR="001B29DE">
        <w:fldChar w:fldCharType="separate"/>
      </w:r>
      <w:r w:rsidR="001B29DE" w:rsidRPr="001B29DE">
        <w:rPr>
          <w:noProof/>
          <w:vertAlign w:val="superscript"/>
        </w:rPr>
        <w:t>7</w:t>
      </w:r>
      <w:r w:rsidR="001B29DE">
        <w:fldChar w:fldCharType="end"/>
      </w:r>
      <w:r w:rsidR="005A0616">
        <w:t xml:space="preserve"> contains additional information about the device fabrication</w:t>
      </w:r>
      <w:r w:rsidR="003123EE">
        <w:t xml:space="preserve"> methods</w:t>
      </w:r>
      <w:r w:rsidR="005A0616">
        <w:t>.</w:t>
      </w:r>
    </w:p>
    <w:p w:rsidR="005A0616" w:rsidRDefault="000F6FC7" w:rsidP="00C269F9">
      <w:pPr>
        <w:spacing w:line="480" w:lineRule="auto"/>
      </w:pPr>
      <w:r>
        <w:t>The mixer operates using</w:t>
      </w:r>
      <w:r w:rsidR="005A0616">
        <w:t xml:space="preserve"> coaxial</w:t>
      </w:r>
      <w:r>
        <w:t xml:space="preserve"> flow-focusing</w:t>
      </w:r>
      <w:r w:rsidR="001B29DE">
        <w:fldChar w:fldCharType="begin" w:fldLock="1"/>
      </w:r>
      <w:r w:rsidR="001B29DE">
        <w:instrText>ADDIN CSL_CITATION {"citationItems":[{"id":"ITEM-1","itemData":{"ISSN":"0003-2700","PMID":"8779410","abstract":"A simple coaxial jet mixer for rapid and efficient confluent mixing under laminar flow conditions (Re &lt; 5) is described. This device demonstrates exceptional control of mixing between two laminar streams by creating shear forces due to variable flow velocities at the point of confluence. It is suitable for flow injection and cytometric analyses of rapid kinetic events which require contact mixing of two solutions and subsecond measurements of the evolving reaction. This apparatus was devised for flow injection cytometry as performed on a Becton Dickinson FACS Analyzer. Under normal cytometric conditions and at a sample introduction rate of 60 microL/min, the laminar jet mixer is capable of complete mixing of two solutions within 55 ms. Kinetic measurements can be performed on the FACS Analyzer in a variable time range of 100 ms to 3 min with 14-30 ms temporal resolution of the studied event. Since no boost in core flow is required, potential spectral distortions due to core flow variations are eliminated. This coaxial jet mixer can be easily constructed and employed on a variety of cytometers as well as conventional flow injection analysis systems, since it is an effective mixer under most flow conditions.","author":[{"dropping-particle":"","family":"Scampavia","given":"L D","non-dropping-particle":"","parse-names":false,"suffix":""},{"dropping-particle":"","family":"Blankenstein","given":"G","non-dropping-particle":"","parse-names":false,"suffix":""},{"dropping-particle":"","family":"Ruzicka","given":"J","non-dropping-particle":"","parse-names":false,"suffix":""},{"dropping-particle":"","family":"Christian","given":"G D","non-dropping-particle":"","parse-names":false,"suffix":""}],"container-title":"Analytical chemistry","id":"ITEM-1","issue":"17","issued":{"date-parts":[["1995","9","1"]]},"page":"2743-9","title":"A coaxial jet mixer for rapid kinetic analysis in flow injection and flow injection cytometry.","type":"article-journal","volume":"67"},"uris":["http://www.mendeley.com/documents/?uuid=a01976ca-ea63-3383-b805-c85b849265ab"]},{"id":"ITEM-2","itemData":{"DOI":"10.1016/S0006-3495(02)75296-X","ISSN":"0006-3495","PMID":"12414719","abstract":"The ability to mix aqueous liquids on microsecond time scales, while consuming minimal amounts of sample and maintaining UV-visible optical access to the mixing region, is highly desirable for a range of biophysical studies of fast protein and nucleic acid interactions and folding. We have constructed a laminar coaxial jet mixer that allows the measurement of UV-excited fluorescence from nanoliter and microliter quantities of material, mixed at microsecond rates. The mixer injects a narrow cylindrical stream (radius a &lt; 1 microm) of fluorescent sample into a larger flow of diluting buffer that moves through a capillary (100 microm i.d.) at a speed approximately 20 cm/s, under laminar flow conditions (Re approximately equal to 14). Construction from a fused silica capillary allows the laser excitation (at 266 nm) and detection (at 350 nm) of tryptophan fluorescence at reasonably low working concentrations, without interference from background fluorescence. Using this mixer we have measured sub-millisecond fluorescence quenching kinetics while consuming fluorescent sample at rates no greater than 6 nl/s. Consumption of the diluting buffer is also very modest (approximately 1-3 microl/s) in comparison with other rapid mixer designs.","author":[{"dropping-particle":"","family":"Pabit","given":"Suzette A.","non-dropping-particle":"","parse-names":false,"suffix":""},{"dropping-particle":"","family":"Hagen","given":"Stephen J.","non-dropping-particle":"","parse-names":false,"suffix":""}],"container-title":"Biophysical journal","id":"ITEM-2","issue":"5","issued":{"date-parts":[["2002","11"]]},"page":"2872-8","title":"Laminar-flow fluid mixer for fast fluorescence kinetics studies.","type":"article-journal","volume":"83"},"uris":["http://www.mendeley.com/documents/?uuid=e7b4d6ba-7d05-4f1d-b887-8cda91d3d6a5"]}],"mendeley":{"formattedCitation":"&lt;sup&gt;8,9&lt;/sup&gt;","plainTextFormattedCitation":"8,9","previouslyFormattedCitation":"&lt;sup&gt;8,9&lt;/sup&gt;"},"properties":{"noteIndex":0},"schema":"https://github.com/citation-style-language/schema/raw/master/csl-citation.json"}</w:instrText>
      </w:r>
      <w:r w:rsidR="001B29DE">
        <w:fldChar w:fldCharType="separate"/>
      </w:r>
      <w:r w:rsidR="001B29DE" w:rsidRPr="001B29DE">
        <w:rPr>
          <w:noProof/>
          <w:vertAlign w:val="superscript"/>
        </w:rPr>
        <w:t>8,9</w:t>
      </w:r>
      <w:r w:rsidR="001B29DE">
        <w:fldChar w:fldCharType="end"/>
      </w:r>
      <w:r w:rsidR="005A0616">
        <w:t xml:space="preserve"> to create a thin jet of RNA containing solution surrounded by Mg</w:t>
      </w:r>
      <w:r w:rsidR="005A0616">
        <w:rPr>
          <w:vertAlign w:val="superscript"/>
        </w:rPr>
        <w:t>2</w:t>
      </w:r>
      <w:r w:rsidR="005A0616">
        <w:rPr>
          <w:vertAlign w:val="subscript"/>
        </w:rPr>
        <w:t xml:space="preserve"> </w:t>
      </w:r>
      <w:r w:rsidR="005A0616">
        <w:t>buffer. The high diffusion coefficient of the Mg</w:t>
      </w:r>
      <w:r w:rsidR="005A0616">
        <w:rPr>
          <w:vertAlign w:val="superscript"/>
        </w:rPr>
        <w:t>2+</w:t>
      </w:r>
      <w:r w:rsidR="005A0616">
        <w:t xml:space="preserve"> allows these ions to rapidly diffuse across the thin sample jet to initiate the reaction, while the RNA which diffuses much more slowly, remains in the central stream.</w:t>
      </w:r>
      <w:r w:rsidR="00D94F17">
        <w:t xml:space="preserve"> </w:t>
      </w:r>
    </w:p>
    <w:p w:rsidR="00D94F17" w:rsidRDefault="005A0616" w:rsidP="00C269F9">
      <w:pPr>
        <w:spacing w:line="480" w:lineRule="auto"/>
      </w:pPr>
      <w:r>
        <w:t xml:space="preserve"> </w:t>
      </w:r>
      <w:r w:rsidR="009F7E34">
        <w:t xml:space="preserve">Solutions are supplied to the mixer in concentric glass capillaries, with the RNA flowing in the inner capillary and the magnesium solution in the outer. These supply lines are held concentric with polyimide centering spacers cut with a femtosecond laser. </w:t>
      </w:r>
      <w:r w:rsidR="000F6FC7">
        <w:t>In the mixer’s focusing region, t</w:t>
      </w:r>
      <w:r w:rsidR="00205FBD">
        <w:t xml:space="preserve">he two solutions are </w:t>
      </w:r>
      <w:r w:rsidR="009F7E34">
        <w:t xml:space="preserve">coaxially </w:t>
      </w:r>
      <w:r w:rsidR="00205FBD">
        <w:t>combined into a single capillary</w:t>
      </w:r>
      <w:r w:rsidR="000F6FC7">
        <w:t xml:space="preserve"> with a reduced inner diameter</w:t>
      </w:r>
      <w:r w:rsidR="006E15F4">
        <w:t>, thin</w:t>
      </w:r>
      <w:r w:rsidR="00205FBD">
        <w:t xml:space="preserve">ning the RNA-containing jet down to ~10 </w:t>
      </w:r>
      <w:r w:rsidR="00205FBD">
        <w:sym w:font="Symbol" w:char="F06D"/>
      </w:r>
      <w:r w:rsidR="009F7E34">
        <w:t>m so that rapid diffusion can occur</w:t>
      </w:r>
      <w:r w:rsidR="00205FBD">
        <w:t xml:space="preserve">. </w:t>
      </w:r>
    </w:p>
    <w:p w:rsidR="00B64E40" w:rsidRDefault="00B64E40">
      <w:pPr>
        <w:spacing w:line="480" w:lineRule="auto"/>
      </w:pPr>
      <w:r>
        <w:rPr>
          <w:noProof/>
        </w:rPr>
        <w:lastRenderedPageBreak/>
        <w:drawing>
          <wp:inline distT="0" distB="0" distL="0" distR="0" wp14:anchorId="36CFD760" wp14:editId="5E865B02">
            <wp:extent cx="5852160" cy="47276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2160" cy="4727613"/>
                    </a:xfrm>
                    <a:prstGeom prst="rect">
                      <a:avLst/>
                    </a:prstGeom>
                    <a:noFill/>
                  </pic:spPr>
                </pic:pic>
              </a:graphicData>
            </a:graphic>
          </wp:inline>
        </w:drawing>
      </w:r>
    </w:p>
    <w:p w:rsidR="00B64E40" w:rsidRDefault="00B64E40" w:rsidP="00B64E40">
      <w:pPr>
        <w:spacing w:line="360" w:lineRule="auto"/>
      </w:pPr>
      <w:r w:rsidRPr="00E90489">
        <w:rPr>
          <w:b/>
        </w:rPr>
        <w:t>Figure S</w:t>
      </w:r>
      <w:r>
        <w:rPr>
          <w:b/>
        </w:rPr>
        <w:t xml:space="preserve">4 </w:t>
      </w:r>
      <w:r>
        <w:t>Schematic of microfluidic mixer and time resolved SAXS profiles.  a) Cartoon showing the principle of operation for the microfluidic mixer. The different colors of the shaded background highlight the three functional regions of the device. Inset cross section shows the cylindrical geometry and diffusion of Mg</w:t>
      </w:r>
      <w:r w:rsidRPr="000330C3">
        <w:rPr>
          <w:vertAlign w:val="superscript"/>
        </w:rPr>
        <w:t>2+</w:t>
      </w:r>
      <w:r>
        <w:t xml:space="preserve"> into the central stream of RNA. The color of the stream of RNA changes to represent the changing Mg</w:t>
      </w:r>
      <w:r w:rsidRPr="00B97E8A">
        <w:rPr>
          <w:vertAlign w:val="superscript"/>
        </w:rPr>
        <w:t>2+</w:t>
      </w:r>
      <w:r>
        <w:t xml:space="preserve"> concentration: pink indicates 0 mM, orange indicates 10 mM. Plots of concentration across the sample stream are given in Plumridge et al. 2018. b) SAXS profiles from 30 ms timepoint and c) 300 ms timepoint. Buffer and sample measurements were repeated twice for each timepoint to ensure reproducibility.</w:t>
      </w:r>
    </w:p>
    <w:p w:rsidR="00B64E40" w:rsidRDefault="00205FBD">
      <w:pPr>
        <w:spacing w:line="480" w:lineRule="auto"/>
      </w:pPr>
      <w:r>
        <w:t>The solutions leave the small inner diameter capillary and emerge into a larger diameter observation capillary</w:t>
      </w:r>
      <w:r w:rsidR="008B7878">
        <w:t xml:space="preserve"> made of thin-walled polyimide tubing</w:t>
      </w:r>
      <w:r w:rsidR="009F7E34">
        <w:t xml:space="preserve"> (Microlumen, Oldsmar, FL)</w:t>
      </w:r>
      <w:r w:rsidR="008B7878">
        <w:t>.</w:t>
      </w:r>
      <w:r w:rsidR="00D94F17" w:rsidRPr="00D94F17">
        <w:t xml:space="preserve"> </w:t>
      </w:r>
      <w:r w:rsidR="00D94F17">
        <w:t xml:space="preserve">The mixer can be positioned so that the beam passes through this channel at different distances from the mixing point to probe the </w:t>
      </w:r>
      <w:r w:rsidR="00D94F17">
        <w:lastRenderedPageBreak/>
        <w:t>reaction at various times after mixing.</w:t>
      </w:r>
      <w:r w:rsidR="008B7878">
        <w:t xml:space="preserve"> In this observation region,</w:t>
      </w:r>
      <w:r w:rsidR="006E15F4">
        <w:t xml:space="preserve"> the sample jet expands to</w:t>
      </w:r>
      <w:r>
        <w:t xml:space="preserve"> ~120 </w:t>
      </w:r>
      <w:r>
        <w:sym w:font="Symbol" w:char="F06D"/>
      </w:r>
      <w:r w:rsidR="008B7878">
        <w:t>m</w:t>
      </w:r>
      <w:r w:rsidR="009F7E34">
        <w:t>, creating a larger X-ray path length that boosts</w:t>
      </w:r>
      <w:r w:rsidR="006E15F4">
        <w:t xml:space="preserve"> the X-ray</w:t>
      </w:r>
      <w:r w:rsidR="009F7E34">
        <w:t xml:space="preserve"> scattering</w:t>
      </w:r>
      <w:r w:rsidR="006E15F4">
        <w:t xml:space="preserve"> signal, minimizing the data collection time and therefore sample consumption. </w:t>
      </w:r>
      <w:r w:rsidR="009F7E34">
        <w:t xml:space="preserve">Additionally, this expansion effectively halts </w:t>
      </w:r>
      <w:r w:rsidR="009F7E34" w:rsidRPr="009F7E34">
        <w:t>Mg</w:t>
      </w:r>
      <w:r w:rsidR="009F7E34">
        <w:rPr>
          <w:vertAlign w:val="superscript"/>
        </w:rPr>
        <w:t>2+</w:t>
      </w:r>
      <w:r w:rsidR="009F7E34">
        <w:t xml:space="preserve"> diffusion</w:t>
      </w:r>
      <w:r w:rsidR="00D94F17">
        <w:t>, keeping the reactant concentration constant along the observation channel. Therefore, a range of time points can be probed with the same magnesium concentration, simplifying data analysis.</w:t>
      </w:r>
      <w:r w:rsidR="00B64E40" w:rsidDel="00B64E40">
        <w:t xml:space="preserve"> </w:t>
      </w:r>
    </w:p>
    <w:p w:rsidR="006E15F4" w:rsidRDefault="006E15F4" w:rsidP="00C269F9">
      <w:pPr>
        <w:spacing w:line="480" w:lineRule="auto"/>
      </w:pPr>
      <w:r>
        <w:t>To collect background images, an injection valve was used to toggle the flow through the central capillary from RNA solution to a buffer solution containing no Mg</w:t>
      </w:r>
      <w:r w:rsidR="008B7878">
        <w:t>Cl</w:t>
      </w:r>
      <w:r w:rsidR="008B7878" w:rsidRPr="008B7878">
        <w:rPr>
          <w:vertAlign w:val="subscript"/>
        </w:rPr>
        <w:t>2</w:t>
      </w:r>
      <w:r>
        <w:t>. New background images wer</w:t>
      </w:r>
      <w:r w:rsidR="008B7878">
        <w:t>e acquired for</w:t>
      </w:r>
      <w:r>
        <w:t xml:space="preserve"> each timepoint, as the background scattering from different positions along the observation capillary is slightly different. </w:t>
      </w:r>
      <w:r w:rsidR="001619ED">
        <w:t xml:space="preserve"> Figure S4 b) and c) show</w:t>
      </w:r>
      <w:r w:rsidR="006234EC">
        <w:t>s</w:t>
      </w:r>
      <w:r w:rsidR="001619ED">
        <w:t xml:space="preserve"> background subtracted scattering profiles collected 30 ms and 300 ms after mixing.</w:t>
      </w:r>
    </w:p>
    <w:p w:rsidR="006D150C" w:rsidRDefault="006E15F4" w:rsidP="00C269F9">
      <w:pPr>
        <w:spacing w:line="480" w:lineRule="auto"/>
      </w:pPr>
      <w:r>
        <w:t xml:space="preserve">Table </w:t>
      </w:r>
      <w:r w:rsidR="006D150C">
        <w:t>S1</w:t>
      </w:r>
      <w:r>
        <w:t xml:space="preserve"> shows a summary of the flow conditions and mixer parameters used in this experiment. </w:t>
      </w:r>
      <w:r w:rsidR="00EB4666">
        <w:t>For all timepoints, the RNA concentration</w:t>
      </w:r>
      <w:r w:rsidR="008B7878">
        <w:t xml:space="preserve"> </w:t>
      </w:r>
      <w:r w:rsidR="00EB4666">
        <w:t>was 76uM</w:t>
      </w:r>
      <w:r w:rsidR="004F7550">
        <w:t xml:space="preserve">. </w:t>
      </w:r>
      <w:r>
        <w:t xml:space="preserve">The concentration of Mg in the outer buffer </w:t>
      </w:r>
      <w:r w:rsidR="006C7E5B">
        <w:t xml:space="preserve">(20mM) </w:t>
      </w:r>
      <w:r>
        <w:t>was chosen so that the final Mg concentration after mixing would be 10 m</w:t>
      </w:r>
      <w:r w:rsidR="008B7878">
        <w:t xml:space="preserve">M. </w:t>
      </w:r>
      <w:r w:rsidR="00EB4666">
        <w:t>In addition to the flow conditions, this table details the sources of timing dispersion for each timepoint. Additional discussion of these sources are discussed in Plumridge et al. 2018.</w:t>
      </w: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8"/>
        <w:gridCol w:w="720"/>
        <w:gridCol w:w="720"/>
        <w:gridCol w:w="720"/>
        <w:gridCol w:w="720"/>
        <w:gridCol w:w="797"/>
        <w:gridCol w:w="797"/>
      </w:tblGrid>
      <w:tr w:rsidR="006C7E5B" w:rsidTr="00D63E1C">
        <w:tc>
          <w:tcPr>
            <w:tcW w:w="3048" w:type="dxa"/>
          </w:tcPr>
          <w:p w:rsidR="006C7E5B" w:rsidRDefault="006C7E5B">
            <w:pPr>
              <w:jc w:val="both"/>
              <w:rPr>
                <w:rFonts w:asciiTheme="majorHAnsi" w:eastAsia="Times New Roman" w:hAnsiTheme="majorHAnsi" w:cs="Times New Roman"/>
              </w:rPr>
            </w:pPr>
          </w:p>
        </w:tc>
        <w:tc>
          <w:tcPr>
            <w:tcW w:w="4474" w:type="dxa"/>
            <w:gridSpan w:val="6"/>
            <w:hideMark/>
          </w:tcPr>
          <w:p w:rsidR="006C7E5B" w:rsidRDefault="006C7E5B">
            <w:pPr>
              <w:jc w:val="center"/>
              <w:rPr>
                <w:rFonts w:asciiTheme="majorHAnsi" w:eastAsia="Times New Roman" w:hAnsiTheme="majorHAnsi" w:cs="Times New Roman"/>
                <w:i/>
              </w:rPr>
            </w:pPr>
            <w:r>
              <w:rPr>
                <w:rFonts w:asciiTheme="majorHAnsi" w:eastAsia="Times New Roman" w:hAnsiTheme="majorHAnsi" w:cs="Times New Roman"/>
                <w:i/>
              </w:rPr>
              <w:t>Timepoint (ms)</w:t>
            </w:r>
          </w:p>
        </w:tc>
      </w:tr>
      <w:tr w:rsidR="006C7E5B" w:rsidTr="00D63E1C">
        <w:trPr>
          <w:gridAfter w:val="1"/>
          <w:wAfter w:w="797" w:type="dxa"/>
        </w:trPr>
        <w:tc>
          <w:tcPr>
            <w:tcW w:w="3048" w:type="dxa"/>
            <w:tcBorders>
              <w:top w:val="nil"/>
              <w:left w:val="nil"/>
              <w:bottom w:val="single" w:sz="8" w:space="0" w:color="auto"/>
              <w:right w:val="single" w:sz="8" w:space="0" w:color="auto"/>
            </w:tcBorders>
          </w:tcPr>
          <w:p w:rsidR="006C7E5B" w:rsidRDefault="006C7E5B">
            <w:pPr>
              <w:jc w:val="both"/>
              <w:rPr>
                <w:rFonts w:asciiTheme="majorHAnsi" w:eastAsia="Times New Roman" w:hAnsiTheme="majorHAnsi" w:cs="Times New Roman"/>
              </w:rPr>
            </w:pPr>
          </w:p>
        </w:tc>
        <w:tc>
          <w:tcPr>
            <w:tcW w:w="720" w:type="dxa"/>
            <w:tcBorders>
              <w:top w:val="nil"/>
              <w:left w:val="single" w:sz="8" w:space="0" w:color="auto"/>
              <w:bottom w:val="single" w:sz="8" w:space="0" w:color="auto"/>
              <w:right w:val="nil"/>
            </w:tcBorders>
            <w:vAlign w:val="center"/>
            <w:hideMark/>
          </w:tcPr>
          <w:p w:rsidR="006C7E5B" w:rsidRDefault="006C7E5B">
            <w:pPr>
              <w:jc w:val="center"/>
              <w:rPr>
                <w:rFonts w:asciiTheme="majorHAnsi" w:eastAsia="Times New Roman" w:hAnsiTheme="majorHAnsi" w:cs="Times New Roman"/>
                <w:b/>
              </w:rPr>
            </w:pPr>
            <w:r>
              <w:rPr>
                <w:rFonts w:asciiTheme="majorHAnsi" w:eastAsia="Times New Roman" w:hAnsiTheme="majorHAnsi" w:cs="Times New Roman"/>
                <w:b/>
              </w:rPr>
              <w:t>10</w:t>
            </w:r>
          </w:p>
        </w:tc>
        <w:tc>
          <w:tcPr>
            <w:tcW w:w="720" w:type="dxa"/>
            <w:tcBorders>
              <w:top w:val="nil"/>
              <w:left w:val="nil"/>
              <w:bottom w:val="single" w:sz="8" w:space="0" w:color="auto"/>
              <w:right w:val="nil"/>
            </w:tcBorders>
            <w:vAlign w:val="center"/>
            <w:hideMark/>
          </w:tcPr>
          <w:p w:rsidR="006C7E5B" w:rsidRDefault="006C7E5B">
            <w:pPr>
              <w:jc w:val="center"/>
              <w:rPr>
                <w:rFonts w:asciiTheme="majorHAnsi" w:eastAsia="Times New Roman" w:hAnsiTheme="majorHAnsi" w:cs="Times New Roman"/>
                <w:b/>
              </w:rPr>
            </w:pPr>
            <w:r>
              <w:rPr>
                <w:rFonts w:asciiTheme="majorHAnsi" w:eastAsia="Times New Roman" w:hAnsiTheme="majorHAnsi" w:cs="Times New Roman"/>
                <w:b/>
              </w:rPr>
              <w:t>30</w:t>
            </w:r>
          </w:p>
        </w:tc>
        <w:tc>
          <w:tcPr>
            <w:tcW w:w="720" w:type="dxa"/>
            <w:tcBorders>
              <w:top w:val="nil"/>
              <w:left w:val="nil"/>
              <w:bottom w:val="single" w:sz="8" w:space="0" w:color="auto"/>
              <w:right w:val="nil"/>
            </w:tcBorders>
            <w:vAlign w:val="center"/>
            <w:hideMark/>
          </w:tcPr>
          <w:p w:rsidR="006C7E5B" w:rsidRDefault="006C7E5B">
            <w:pPr>
              <w:jc w:val="center"/>
              <w:rPr>
                <w:rFonts w:asciiTheme="majorHAnsi" w:eastAsia="Times New Roman" w:hAnsiTheme="majorHAnsi" w:cs="Times New Roman"/>
                <w:b/>
              </w:rPr>
            </w:pPr>
            <w:r>
              <w:rPr>
                <w:rFonts w:asciiTheme="majorHAnsi" w:eastAsia="Times New Roman" w:hAnsiTheme="majorHAnsi" w:cs="Times New Roman"/>
                <w:b/>
              </w:rPr>
              <w:t>100</w:t>
            </w:r>
          </w:p>
        </w:tc>
        <w:tc>
          <w:tcPr>
            <w:tcW w:w="720" w:type="dxa"/>
            <w:tcBorders>
              <w:top w:val="nil"/>
              <w:left w:val="nil"/>
              <w:bottom w:val="single" w:sz="8" w:space="0" w:color="auto"/>
              <w:right w:val="nil"/>
            </w:tcBorders>
            <w:vAlign w:val="center"/>
            <w:hideMark/>
          </w:tcPr>
          <w:p w:rsidR="006C7E5B" w:rsidRDefault="006C7E5B">
            <w:pPr>
              <w:jc w:val="center"/>
              <w:rPr>
                <w:rFonts w:asciiTheme="majorHAnsi" w:eastAsia="Times New Roman" w:hAnsiTheme="majorHAnsi" w:cs="Times New Roman"/>
                <w:b/>
              </w:rPr>
            </w:pPr>
            <w:r>
              <w:rPr>
                <w:rFonts w:asciiTheme="majorHAnsi" w:eastAsia="Times New Roman" w:hAnsiTheme="majorHAnsi" w:cs="Times New Roman"/>
                <w:b/>
              </w:rPr>
              <w:t>300</w:t>
            </w:r>
          </w:p>
        </w:tc>
        <w:tc>
          <w:tcPr>
            <w:tcW w:w="797" w:type="dxa"/>
            <w:tcBorders>
              <w:top w:val="nil"/>
              <w:left w:val="nil"/>
              <w:bottom w:val="single" w:sz="8" w:space="0" w:color="auto"/>
              <w:right w:val="nil"/>
            </w:tcBorders>
            <w:vAlign w:val="center"/>
            <w:hideMark/>
          </w:tcPr>
          <w:p w:rsidR="006C7E5B" w:rsidRDefault="006C7E5B">
            <w:pPr>
              <w:jc w:val="center"/>
              <w:rPr>
                <w:rFonts w:asciiTheme="majorHAnsi" w:eastAsia="Times New Roman" w:hAnsiTheme="majorHAnsi" w:cs="Times New Roman"/>
                <w:b/>
              </w:rPr>
            </w:pPr>
            <w:r>
              <w:rPr>
                <w:rFonts w:asciiTheme="majorHAnsi" w:eastAsia="Times New Roman" w:hAnsiTheme="majorHAnsi" w:cs="Times New Roman"/>
                <w:b/>
              </w:rPr>
              <w:t>1000</w:t>
            </w:r>
          </w:p>
        </w:tc>
      </w:tr>
      <w:tr w:rsidR="006C7E5B" w:rsidTr="00D63E1C">
        <w:trPr>
          <w:gridAfter w:val="1"/>
          <w:wAfter w:w="797" w:type="dxa"/>
          <w:trHeight w:val="360"/>
        </w:trPr>
        <w:tc>
          <w:tcPr>
            <w:tcW w:w="3048" w:type="dxa"/>
            <w:tcBorders>
              <w:top w:val="single" w:sz="8" w:space="0" w:color="auto"/>
              <w:left w:val="nil"/>
              <w:bottom w:val="nil"/>
              <w:right w:val="single" w:sz="8" w:space="0" w:color="auto"/>
            </w:tcBorders>
            <w:vAlign w:val="center"/>
            <w:hideMark/>
          </w:tcPr>
          <w:p w:rsidR="006C7E5B" w:rsidRDefault="006C7E5B">
            <w:pPr>
              <w:jc w:val="right"/>
              <w:rPr>
                <w:rFonts w:asciiTheme="majorHAnsi" w:eastAsia="Times New Roman" w:hAnsiTheme="majorHAnsi" w:cs="Times New Roman"/>
                <w:i/>
              </w:rPr>
            </w:pPr>
            <w:r>
              <w:rPr>
                <w:rFonts w:asciiTheme="majorHAnsi" w:eastAsia="Times New Roman" w:hAnsiTheme="majorHAnsi" w:cs="Times New Roman"/>
                <w:i/>
              </w:rPr>
              <w:t>Sample Flow Rate (µL/min)</w:t>
            </w:r>
          </w:p>
        </w:tc>
        <w:tc>
          <w:tcPr>
            <w:tcW w:w="720" w:type="dxa"/>
            <w:tcBorders>
              <w:top w:val="single" w:sz="8" w:space="0" w:color="auto"/>
              <w:left w:val="single" w:sz="8" w:space="0" w:color="auto"/>
              <w:bottom w:val="nil"/>
              <w:right w:val="nil"/>
            </w:tcBorders>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5</w:t>
            </w:r>
          </w:p>
        </w:tc>
        <w:tc>
          <w:tcPr>
            <w:tcW w:w="720" w:type="dxa"/>
            <w:tcBorders>
              <w:top w:val="single" w:sz="8" w:space="0" w:color="auto"/>
              <w:left w:val="nil"/>
              <w:bottom w:val="nil"/>
              <w:right w:val="nil"/>
            </w:tcBorders>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5</w:t>
            </w:r>
          </w:p>
        </w:tc>
        <w:tc>
          <w:tcPr>
            <w:tcW w:w="720" w:type="dxa"/>
            <w:tcBorders>
              <w:top w:val="single" w:sz="8" w:space="0" w:color="auto"/>
              <w:left w:val="nil"/>
              <w:bottom w:val="nil"/>
              <w:right w:val="nil"/>
            </w:tcBorders>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5</w:t>
            </w:r>
          </w:p>
        </w:tc>
        <w:tc>
          <w:tcPr>
            <w:tcW w:w="720" w:type="dxa"/>
            <w:tcBorders>
              <w:top w:val="single" w:sz="8" w:space="0" w:color="auto"/>
              <w:left w:val="nil"/>
              <w:bottom w:val="nil"/>
              <w:right w:val="nil"/>
            </w:tcBorders>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5</w:t>
            </w:r>
          </w:p>
        </w:tc>
        <w:tc>
          <w:tcPr>
            <w:tcW w:w="797" w:type="dxa"/>
            <w:tcBorders>
              <w:top w:val="single" w:sz="8" w:space="0" w:color="auto"/>
              <w:left w:val="nil"/>
              <w:bottom w:val="nil"/>
              <w:right w:val="nil"/>
            </w:tcBorders>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5</w:t>
            </w:r>
          </w:p>
        </w:tc>
      </w:tr>
      <w:tr w:rsidR="006C7E5B" w:rsidTr="00D63E1C">
        <w:trPr>
          <w:gridAfter w:val="1"/>
          <w:wAfter w:w="797" w:type="dxa"/>
          <w:trHeight w:val="360"/>
        </w:trPr>
        <w:tc>
          <w:tcPr>
            <w:tcW w:w="3048" w:type="dxa"/>
            <w:tcBorders>
              <w:top w:val="nil"/>
              <w:left w:val="nil"/>
              <w:bottom w:val="nil"/>
              <w:right w:val="single" w:sz="8" w:space="0" w:color="auto"/>
            </w:tcBorders>
            <w:vAlign w:val="center"/>
            <w:hideMark/>
          </w:tcPr>
          <w:p w:rsidR="006C7E5B" w:rsidRDefault="006C7E5B">
            <w:pPr>
              <w:jc w:val="right"/>
              <w:rPr>
                <w:rFonts w:asciiTheme="majorHAnsi" w:eastAsia="Times New Roman" w:hAnsiTheme="majorHAnsi" w:cs="Times New Roman"/>
                <w:i/>
              </w:rPr>
            </w:pPr>
            <w:r>
              <w:rPr>
                <w:rFonts w:asciiTheme="majorHAnsi" w:eastAsia="Times New Roman" w:hAnsiTheme="majorHAnsi" w:cs="Times New Roman"/>
                <w:i/>
              </w:rPr>
              <w:t>Total flow rate (µL/min)</w:t>
            </w:r>
          </w:p>
        </w:tc>
        <w:tc>
          <w:tcPr>
            <w:tcW w:w="720" w:type="dxa"/>
            <w:tcBorders>
              <w:top w:val="nil"/>
              <w:left w:val="single" w:sz="8" w:space="0" w:color="auto"/>
              <w:bottom w:val="nil"/>
              <w:right w:val="nil"/>
            </w:tcBorders>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36.4</w:t>
            </w:r>
          </w:p>
        </w:tc>
        <w:tc>
          <w:tcPr>
            <w:tcW w:w="720" w:type="dxa"/>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17</w:t>
            </w:r>
          </w:p>
        </w:tc>
        <w:tc>
          <w:tcPr>
            <w:tcW w:w="720" w:type="dxa"/>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17</w:t>
            </w:r>
          </w:p>
        </w:tc>
        <w:tc>
          <w:tcPr>
            <w:tcW w:w="720" w:type="dxa"/>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17</w:t>
            </w:r>
          </w:p>
        </w:tc>
        <w:tc>
          <w:tcPr>
            <w:tcW w:w="797" w:type="dxa"/>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17</w:t>
            </w:r>
          </w:p>
        </w:tc>
      </w:tr>
      <w:tr w:rsidR="006C7E5B" w:rsidTr="00D63E1C">
        <w:trPr>
          <w:gridAfter w:val="1"/>
          <w:wAfter w:w="797" w:type="dxa"/>
          <w:trHeight w:val="360"/>
        </w:trPr>
        <w:tc>
          <w:tcPr>
            <w:tcW w:w="3048" w:type="dxa"/>
            <w:tcBorders>
              <w:top w:val="nil"/>
              <w:left w:val="nil"/>
              <w:bottom w:val="nil"/>
              <w:right w:val="single" w:sz="8" w:space="0" w:color="auto"/>
            </w:tcBorders>
            <w:vAlign w:val="center"/>
            <w:hideMark/>
          </w:tcPr>
          <w:p w:rsidR="006C7E5B" w:rsidRDefault="006C7E5B">
            <w:pPr>
              <w:jc w:val="right"/>
              <w:rPr>
                <w:rFonts w:asciiTheme="majorHAnsi" w:eastAsia="Times New Roman" w:hAnsiTheme="majorHAnsi" w:cs="Times New Roman"/>
                <w:i/>
              </w:rPr>
            </w:pPr>
            <w:r>
              <w:rPr>
                <w:rFonts w:asciiTheme="majorHAnsi" w:eastAsia="Times New Roman" w:hAnsiTheme="majorHAnsi" w:cs="Times New Roman"/>
                <w:i/>
              </w:rPr>
              <w:t>Time in constriction (ms)</w:t>
            </w:r>
          </w:p>
        </w:tc>
        <w:tc>
          <w:tcPr>
            <w:tcW w:w="720" w:type="dxa"/>
            <w:tcBorders>
              <w:top w:val="nil"/>
              <w:left w:val="single" w:sz="8" w:space="0" w:color="auto"/>
              <w:bottom w:val="nil"/>
              <w:right w:val="nil"/>
            </w:tcBorders>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3.5</w:t>
            </w:r>
          </w:p>
        </w:tc>
        <w:tc>
          <w:tcPr>
            <w:tcW w:w="720" w:type="dxa"/>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7.5</w:t>
            </w:r>
          </w:p>
        </w:tc>
        <w:tc>
          <w:tcPr>
            <w:tcW w:w="720" w:type="dxa"/>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7.5</w:t>
            </w:r>
          </w:p>
        </w:tc>
        <w:tc>
          <w:tcPr>
            <w:tcW w:w="720" w:type="dxa"/>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7.5</w:t>
            </w:r>
          </w:p>
        </w:tc>
        <w:tc>
          <w:tcPr>
            <w:tcW w:w="797" w:type="dxa"/>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7.5</w:t>
            </w:r>
          </w:p>
        </w:tc>
      </w:tr>
      <w:tr w:rsidR="006C7E5B" w:rsidTr="00D63E1C">
        <w:trPr>
          <w:gridAfter w:val="1"/>
          <w:wAfter w:w="797" w:type="dxa"/>
          <w:trHeight w:val="360"/>
        </w:trPr>
        <w:tc>
          <w:tcPr>
            <w:tcW w:w="3048" w:type="dxa"/>
            <w:tcBorders>
              <w:top w:val="nil"/>
              <w:left w:val="nil"/>
              <w:bottom w:val="nil"/>
              <w:right w:val="single" w:sz="8" w:space="0" w:color="auto"/>
            </w:tcBorders>
            <w:vAlign w:val="center"/>
            <w:hideMark/>
          </w:tcPr>
          <w:p w:rsidR="006C7E5B" w:rsidRDefault="006C7E5B">
            <w:pPr>
              <w:jc w:val="right"/>
              <w:rPr>
                <w:rFonts w:asciiTheme="majorHAnsi" w:eastAsia="Times New Roman" w:hAnsiTheme="majorHAnsi" w:cs="Times New Roman"/>
                <w:i/>
              </w:rPr>
            </w:pPr>
            <w:r>
              <w:rPr>
                <w:rFonts w:asciiTheme="majorHAnsi" w:eastAsia="Times New Roman" w:hAnsiTheme="majorHAnsi" w:cs="Times New Roman"/>
                <w:i/>
              </w:rPr>
              <w:t>Flow Dispersion (ms)</w:t>
            </w:r>
          </w:p>
        </w:tc>
        <w:tc>
          <w:tcPr>
            <w:tcW w:w="720" w:type="dxa"/>
            <w:tcBorders>
              <w:top w:val="nil"/>
              <w:left w:val="single" w:sz="8" w:space="0" w:color="auto"/>
              <w:bottom w:val="nil"/>
              <w:right w:val="nil"/>
            </w:tcBorders>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1.1</w:t>
            </w:r>
          </w:p>
        </w:tc>
        <w:tc>
          <w:tcPr>
            <w:tcW w:w="720" w:type="dxa"/>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7.6</w:t>
            </w:r>
          </w:p>
        </w:tc>
        <w:tc>
          <w:tcPr>
            <w:tcW w:w="720" w:type="dxa"/>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19.8</w:t>
            </w:r>
          </w:p>
        </w:tc>
        <w:tc>
          <w:tcPr>
            <w:tcW w:w="720" w:type="dxa"/>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61.5</w:t>
            </w:r>
          </w:p>
        </w:tc>
        <w:tc>
          <w:tcPr>
            <w:tcW w:w="797" w:type="dxa"/>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183.3</w:t>
            </w:r>
          </w:p>
        </w:tc>
      </w:tr>
      <w:tr w:rsidR="006C7E5B" w:rsidTr="00D63E1C">
        <w:trPr>
          <w:gridAfter w:val="1"/>
          <w:wAfter w:w="797" w:type="dxa"/>
          <w:trHeight w:val="360"/>
        </w:trPr>
        <w:tc>
          <w:tcPr>
            <w:tcW w:w="3048" w:type="dxa"/>
            <w:tcBorders>
              <w:top w:val="nil"/>
              <w:left w:val="nil"/>
              <w:bottom w:val="nil"/>
              <w:right w:val="single" w:sz="8" w:space="0" w:color="auto"/>
            </w:tcBorders>
            <w:vAlign w:val="center"/>
            <w:hideMark/>
          </w:tcPr>
          <w:p w:rsidR="006C7E5B" w:rsidRDefault="006C7E5B">
            <w:pPr>
              <w:jc w:val="right"/>
              <w:rPr>
                <w:rFonts w:asciiTheme="majorHAnsi" w:eastAsia="Times New Roman" w:hAnsiTheme="majorHAnsi" w:cs="Times New Roman"/>
                <w:i/>
              </w:rPr>
            </w:pPr>
            <w:r>
              <w:rPr>
                <w:rFonts w:asciiTheme="majorHAnsi" w:eastAsia="Times New Roman" w:hAnsiTheme="majorHAnsi" w:cs="Times New Roman"/>
                <w:i/>
              </w:rPr>
              <w:t>Beam Smearing (ms)</w:t>
            </w:r>
          </w:p>
        </w:tc>
        <w:tc>
          <w:tcPr>
            <w:tcW w:w="720" w:type="dxa"/>
            <w:tcBorders>
              <w:top w:val="nil"/>
              <w:left w:val="single" w:sz="8" w:space="0" w:color="auto"/>
              <w:bottom w:val="nil"/>
              <w:right w:val="nil"/>
            </w:tcBorders>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2.5</w:t>
            </w:r>
          </w:p>
        </w:tc>
        <w:tc>
          <w:tcPr>
            <w:tcW w:w="720" w:type="dxa"/>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5.4</w:t>
            </w:r>
          </w:p>
        </w:tc>
        <w:tc>
          <w:tcPr>
            <w:tcW w:w="720" w:type="dxa"/>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5.4</w:t>
            </w:r>
          </w:p>
        </w:tc>
        <w:tc>
          <w:tcPr>
            <w:tcW w:w="720" w:type="dxa"/>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5.4</w:t>
            </w:r>
          </w:p>
        </w:tc>
        <w:tc>
          <w:tcPr>
            <w:tcW w:w="797" w:type="dxa"/>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5.4</w:t>
            </w:r>
          </w:p>
        </w:tc>
      </w:tr>
      <w:tr w:rsidR="006C7E5B" w:rsidTr="00D63E1C">
        <w:trPr>
          <w:gridAfter w:val="1"/>
          <w:wAfter w:w="797" w:type="dxa"/>
          <w:trHeight w:val="360"/>
        </w:trPr>
        <w:tc>
          <w:tcPr>
            <w:tcW w:w="3048" w:type="dxa"/>
            <w:tcBorders>
              <w:top w:val="nil"/>
              <w:left w:val="nil"/>
              <w:bottom w:val="nil"/>
              <w:right w:val="single" w:sz="8" w:space="0" w:color="auto"/>
            </w:tcBorders>
            <w:vAlign w:val="center"/>
            <w:hideMark/>
          </w:tcPr>
          <w:p w:rsidR="006C7E5B" w:rsidRDefault="006C7E5B">
            <w:pPr>
              <w:jc w:val="right"/>
              <w:rPr>
                <w:rFonts w:asciiTheme="majorHAnsi" w:eastAsia="Times New Roman" w:hAnsiTheme="majorHAnsi" w:cs="Times New Roman"/>
                <w:i/>
              </w:rPr>
            </w:pPr>
            <w:r>
              <w:rPr>
                <w:rFonts w:asciiTheme="majorHAnsi" w:eastAsia="Times New Roman" w:hAnsiTheme="majorHAnsi" w:cs="Times New Roman"/>
                <w:i/>
              </w:rPr>
              <w:t>Total dispersion (ms)</w:t>
            </w:r>
          </w:p>
        </w:tc>
        <w:tc>
          <w:tcPr>
            <w:tcW w:w="720" w:type="dxa"/>
            <w:tcBorders>
              <w:top w:val="nil"/>
              <w:left w:val="single" w:sz="8" w:space="0" w:color="auto"/>
              <w:bottom w:val="nil"/>
              <w:right w:val="nil"/>
            </w:tcBorders>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±1.4</w:t>
            </w:r>
          </w:p>
        </w:tc>
        <w:tc>
          <w:tcPr>
            <w:tcW w:w="720" w:type="dxa"/>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±4.7</w:t>
            </w:r>
          </w:p>
        </w:tc>
        <w:tc>
          <w:tcPr>
            <w:tcW w:w="720" w:type="dxa"/>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±10</w:t>
            </w:r>
          </w:p>
        </w:tc>
        <w:tc>
          <w:tcPr>
            <w:tcW w:w="720" w:type="dxa"/>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±30</w:t>
            </w:r>
          </w:p>
        </w:tc>
        <w:tc>
          <w:tcPr>
            <w:tcW w:w="797" w:type="dxa"/>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±90</w:t>
            </w:r>
          </w:p>
        </w:tc>
      </w:tr>
      <w:tr w:rsidR="006C7E5B" w:rsidTr="00D63E1C">
        <w:trPr>
          <w:gridAfter w:val="1"/>
          <w:wAfter w:w="797" w:type="dxa"/>
          <w:trHeight w:val="360"/>
        </w:trPr>
        <w:tc>
          <w:tcPr>
            <w:tcW w:w="3048" w:type="dxa"/>
            <w:tcBorders>
              <w:top w:val="nil"/>
              <w:left w:val="nil"/>
              <w:right w:val="single" w:sz="8" w:space="0" w:color="auto"/>
            </w:tcBorders>
            <w:vAlign w:val="center"/>
            <w:hideMark/>
          </w:tcPr>
          <w:p w:rsidR="006C7E5B" w:rsidRDefault="006C7E5B">
            <w:pPr>
              <w:jc w:val="right"/>
              <w:rPr>
                <w:rFonts w:asciiTheme="majorHAnsi" w:eastAsia="Times New Roman" w:hAnsiTheme="majorHAnsi" w:cs="Times New Roman"/>
                <w:i/>
              </w:rPr>
            </w:pPr>
            <w:r>
              <w:rPr>
                <w:rFonts w:asciiTheme="majorHAnsi" w:eastAsia="Times New Roman" w:hAnsiTheme="majorHAnsi" w:cs="Times New Roman"/>
                <w:i/>
              </w:rPr>
              <w:t>Sample Path Length (µm)</w:t>
            </w:r>
          </w:p>
        </w:tc>
        <w:tc>
          <w:tcPr>
            <w:tcW w:w="720" w:type="dxa"/>
            <w:tcBorders>
              <w:top w:val="nil"/>
              <w:left w:val="single" w:sz="8" w:space="0" w:color="auto"/>
              <w:right w:val="nil"/>
            </w:tcBorders>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80</w:t>
            </w:r>
          </w:p>
        </w:tc>
        <w:tc>
          <w:tcPr>
            <w:tcW w:w="720" w:type="dxa"/>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148</w:t>
            </w:r>
          </w:p>
        </w:tc>
        <w:tc>
          <w:tcPr>
            <w:tcW w:w="720" w:type="dxa"/>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148</w:t>
            </w:r>
          </w:p>
        </w:tc>
        <w:tc>
          <w:tcPr>
            <w:tcW w:w="720" w:type="dxa"/>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148</w:t>
            </w:r>
          </w:p>
        </w:tc>
        <w:tc>
          <w:tcPr>
            <w:tcW w:w="797" w:type="dxa"/>
            <w:vAlign w:val="center"/>
            <w:hideMark/>
          </w:tcPr>
          <w:p w:rsidR="006C7E5B" w:rsidRDefault="006C7E5B">
            <w:pPr>
              <w:jc w:val="center"/>
              <w:rPr>
                <w:rFonts w:asciiTheme="majorHAnsi" w:eastAsia="Times New Roman" w:hAnsiTheme="majorHAnsi" w:cs="Times New Roman"/>
              </w:rPr>
            </w:pPr>
            <w:r>
              <w:rPr>
                <w:rFonts w:asciiTheme="majorHAnsi" w:eastAsia="Times New Roman" w:hAnsiTheme="majorHAnsi" w:cs="Times New Roman"/>
              </w:rPr>
              <w:t>148</w:t>
            </w:r>
          </w:p>
        </w:tc>
      </w:tr>
      <w:tr w:rsidR="00EB4666" w:rsidTr="00D63E1C">
        <w:trPr>
          <w:gridAfter w:val="1"/>
          <w:wAfter w:w="797" w:type="dxa"/>
          <w:trHeight w:val="99"/>
        </w:trPr>
        <w:tc>
          <w:tcPr>
            <w:tcW w:w="3048" w:type="dxa"/>
            <w:tcBorders>
              <w:top w:val="nil"/>
              <w:left w:val="nil"/>
              <w:bottom w:val="nil"/>
            </w:tcBorders>
            <w:vAlign w:val="center"/>
          </w:tcPr>
          <w:p w:rsidR="00EB4666" w:rsidRPr="00EB4666" w:rsidRDefault="00EB4666">
            <w:pPr>
              <w:jc w:val="right"/>
              <w:rPr>
                <w:rFonts w:asciiTheme="majorHAnsi" w:eastAsia="Times New Roman" w:hAnsiTheme="majorHAnsi" w:cs="Times New Roman"/>
                <w:i/>
                <w:sz w:val="12"/>
                <w:szCs w:val="12"/>
              </w:rPr>
            </w:pPr>
          </w:p>
        </w:tc>
        <w:tc>
          <w:tcPr>
            <w:tcW w:w="720" w:type="dxa"/>
            <w:tcBorders>
              <w:top w:val="nil"/>
              <w:bottom w:val="nil"/>
              <w:right w:val="nil"/>
            </w:tcBorders>
            <w:vAlign w:val="center"/>
          </w:tcPr>
          <w:p w:rsidR="00EB4666" w:rsidRPr="00EB4666" w:rsidRDefault="00EB4666">
            <w:pPr>
              <w:jc w:val="center"/>
              <w:rPr>
                <w:rFonts w:asciiTheme="majorHAnsi" w:eastAsia="Times New Roman" w:hAnsiTheme="majorHAnsi" w:cs="Times New Roman"/>
                <w:sz w:val="12"/>
                <w:szCs w:val="12"/>
              </w:rPr>
            </w:pPr>
          </w:p>
        </w:tc>
        <w:tc>
          <w:tcPr>
            <w:tcW w:w="720" w:type="dxa"/>
            <w:vAlign w:val="center"/>
          </w:tcPr>
          <w:p w:rsidR="00EB4666" w:rsidRPr="00EB4666" w:rsidRDefault="00EB4666">
            <w:pPr>
              <w:jc w:val="center"/>
              <w:rPr>
                <w:rFonts w:asciiTheme="majorHAnsi" w:eastAsia="Times New Roman" w:hAnsiTheme="majorHAnsi" w:cs="Times New Roman"/>
                <w:sz w:val="12"/>
                <w:szCs w:val="12"/>
              </w:rPr>
            </w:pPr>
          </w:p>
        </w:tc>
        <w:tc>
          <w:tcPr>
            <w:tcW w:w="720" w:type="dxa"/>
            <w:vAlign w:val="center"/>
          </w:tcPr>
          <w:p w:rsidR="00EB4666" w:rsidRPr="00EB4666" w:rsidRDefault="00EB4666">
            <w:pPr>
              <w:jc w:val="center"/>
              <w:rPr>
                <w:rFonts w:asciiTheme="majorHAnsi" w:eastAsia="Times New Roman" w:hAnsiTheme="majorHAnsi" w:cs="Times New Roman"/>
                <w:sz w:val="12"/>
                <w:szCs w:val="12"/>
              </w:rPr>
            </w:pPr>
          </w:p>
        </w:tc>
        <w:tc>
          <w:tcPr>
            <w:tcW w:w="720" w:type="dxa"/>
            <w:vAlign w:val="center"/>
          </w:tcPr>
          <w:p w:rsidR="00EB4666" w:rsidRPr="00EB4666" w:rsidRDefault="00EB4666">
            <w:pPr>
              <w:jc w:val="center"/>
              <w:rPr>
                <w:rFonts w:asciiTheme="majorHAnsi" w:eastAsia="Times New Roman" w:hAnsiTheme="majorHAnsi" w:cs="Times New Roman"/>
                <w:sz w:val="12"/>
                <w:szCs w:val="12"/>
              </w:rPr>
            </w:pPr>
          </w:p>
        </w:tc>
        <w:tc>
          <w:tcPr>
            <w:tcW w:w="797" w:type="dxa"/>
            <w:vAlign w:val="center"/>
          </w:tcPr>
          <w:p w:rsidR="00EB4666" w:rsidRPr="00EB4666" w:rsidRDefault="00EB4666">
            <w:pPr>
              <w:jc w:val="center"/>
              <w:rPr>
                <w:rFonts w:asciiTheme="majorHAnsi" w:eastAsia="Times New Roman" w:hAnsiTheme="majorHAnsi" w:cs="Times New Roman"/>
                <w:sz w:val="12"/>
                <w:szCs w:val="12"/>
              </w:rPr>
            </w:pPr>
          </w:p>
        </w:tc>
      </w:tr>
    </w:tbl>
    <w:p w:rsidR="00EB4666" w:rsidRPr="004F7550" w:rsidRDefault="00EB4666" w:rsidP="00C269F9">
      <w:pPr>
        <w:spacing w:line="480" w:lineRule="auto"/>
      </w:pPr>
      <w:r>
        <w:rPr>
          <w:b/>
        </w:rPr>
        <w:t>Table S1</w:t>
      </w:r>
      <w:r>
        <w:t xml:space="preserve"> List of flow parameters and timing dispersion for each timepoint measured.</w:t>
      </w:r>
    </w:p>
    <w:p w:rsidR="001B29DE" w:rsidRDefault="001B29DE" w:rsidP="000D5B36">
      <w:pPr>
        <w:spacing w:line="480" w:lineRule="auto"/>
        <w:outlineLvl w:val="0"/>
        <w:rPr>
          <w:b/>
        </w:rPr>
      </w:pPr>
    </w:p>
    <w:p w:rsidR="00636915" w:rsidRPr="00B56E8C" w:rsidRDefault="004E3A54" w:rsidP="000D5B36">
      <w:pPr>
        <w:spacing w:line="480" w:lineRule="auto"/>
        <w:outlineLvl w:val="0"/>
        <w:rPr>
          <w:b/>
        </w:rPr>
      </w:pPr>
      <w:r>
        <w:rPr>
          <w:b/>
        </w:rPr>
        <w:lastRenderedPageBreak/>
        <w:t xml:space="preserve">Fluorescence </w:t>
      </w:r>
      <w:r w:rsidR="00636915" w:rsidRPr="00B56E8C">
        <w:rPr>
          <w:b/>
        </w:rPr>
        <w:t xml:space="preserve">Data </w:t>
      </w:r>
      <w:r w:rsidR="00ED0DA2" w:rsidRPr="00B56E8C">
        <w:rPr>
          <w:b/>
        </w:rPr>
        <w:t xml:space="preserve">collection &amp; </w:t>
      </w:r>
      <w:r w:rsidR="00636915" w:rsidRPr="00B56E8C">
        <w:rPr>
          <w:b/>
        </w:rPr>
        <w:t>pre-treatment:</w:t>
      </w:r>
    </w:p>
    <w:p w:rsidR="003D3439" w:rsidRDefault="00D449A6" w:rsidP="008C1B47">
      <w:pPr>
        <w:spacing w:line="480" w:lineRule="auto"/>
      </w:pPr>
      <w:r>
        <w:t xml:space="preserve">Stopped flow time courses were collected on an applied Photophysics sx20 stopped flow spectrofluorometer.  </w:t>
      </w:r>
      <w:r w:rsidR="00B76AEA">
        <w:t xml:space="preserve">The buffer, referred henceforth as standard buffer, for all experiments was 100 mM KCl, 10 mM Sodium Cacodylate at pH 6.5, and any deviations are explicitly mentioned.  </w:t>
      </w:r>
      <w:r w:rsidR="007B3811">
        <w:t xml:space="preserve">Fluorescence </w:t>
      </w:r>
      <w:r w:rsidR="003D3439">
        <w:t>from 2AP on 100 n</w:t>
      </w:r>
      <w:r w:rsidR="001249DD">
        <w:t>M</w:t>
      </w:r>
      <w:r w:rsidR="003D3439">
        <w:t xml:space="preserve"> RNA constructs </w:t>
      </w:r>
      <w:r w:rsidR="007B3811">
        <w:t xml:space="preserve">was recorded after rapidly </w:t>
      </w:r>
      <w:r w:rsidR="001249DD">
        <w:t>mixing with</w:t>
      </w:r>
      <w:r w:rsidR="007B3811">
        <w:t xml:space="preserve"> differing concentrations of ions in the same standard buffer.</w:t>
      </w:r>
      <w:r w:rsidR="00FE44D6">
        <w:t xml:space="preserve">  </w:t>
      </w:r>
      <w:r>
        <w:t>Each measurement consisted of 15000 time points</w:t>
      </w:r>
      <w:r w:rsidR="00FE44D6">
        <w:t xml:space="preserve"> (the first five thousand taken at 1 ms intervals, and the subsequent 10,000 taken at 10 ms intervals).</w:t>
      </w:r>
      <w:r w:rsidR="00A47A2B">
        <w:t xml:space="preserve">  </w:t>
      </w:r>
      <w:r w:rsidR="00636915">
        <w:t xml:space="preserve">Each </w:t>
      </w:r>
      <w:r w:rsidR="00A47A2B">
        <w:t xml:space="preserve">measurement condition </w:t>
      </w:r>
      <w:r w:rsidR="00636915">
        <w:t xml:space="preserve">(2AP position and ion concentration) was </w:t>
      </w:r>
      <w:r w:rsidR="00A47A2B">
        <w:t xml:space="preserve">replicated </w:t>
      </w:r>
      <w:r w:rsidR="001249DD">
        <w:t xml:space="preserve">at least </w:t>
      </w:r>
      <w:r w:rsidR="00636915">
        <w:t xml:space="preserve">5 times.  </w:t>
      </w:r>
      <w:r w:rsidR="00484915">
        <w:t xml:space="preserve">Data </w:t>
      </w:r>
      <w:r w:rsidR="00C14178">
        <w:t>f</w:t>
      </w:r>
      <w:r w:rsidR="00484915">
        <w:t>rom each measurement condition w</w:t>
      </w:r>
      <w:r w:rsidR="00CE6650">
        <w:t>ere</w:t>
      </w:r>
      <w:r w:rsidR="00484915">
        <w:t xml:space="preserve"> averaged </w:t>
      </w:r>
      <w:r w:rsidR="00636915">
        <w:t xml:space="preserve">and </w:t>
      </w:r>
      <w:r w:rsidR="00484915">
        <w:t xml:space="preserve">the </w:t>
      </w:r>
      <w:r w:rsidR="00636915">
        <w:t xml:space="preserve">standard deviations </w:t>
      </w:r>
      <w:r w:rsidR="00484915">
        <w:t>of the averages were calculated to be used as weights during fitting</w:t>
      </w:r>
      <w:r w:rsidR="00636915">
        <w:t>.</w:t>
      </w:r>
      <w:r w:rsidR="00B76AEA">
        <w:t xml:space="preserve"> </w:t>
      </w:r>
      <w:r w:rsidR="000F6BBF">
        <w:t xml:space="preserve"> The average</w:t>
      </w:r>
      <w:r w:rsidR="00310AC2">
        <w:t>d</w:t>
      </w:r>
      <w:r w:rsidR="000F6BBF">
        <w:t xml:space="preserve"> </w:t>
      </w:r>
      <w:r w:rsidR="00310AC2">
        <w:t>data</w:t>
      </w:r>
      <w:r w:rsidR="00C14178">
        <w:t xml:space="preserve"> </w:t>
      </w:r>
      <w:r w:rsidR="00310AC2">
        <w:t>was</w:t>
      </w:r>
      <w:r w:rsidR="00C14178">
        <w:t xml:space="preserve"> normalized</w:t>
      </w:r>
      <w:r w:rsidR="00666674">
        <w:t xml:space="preserve"> to percent signal change for easier interpretation</w:t>
      </w:r>
      <w:r w:rsidR="00CE6650">
        <w:t>,</w:t>
      </w:r>
      <w:r w:rsidR="00C14178">
        <w:t xml:space="preserve"> </w:t>
      </w:r>
      <w:r w:rsidR="00245E34">
        <w:t>since</w:t>
      </w:r>
      <w:r w:rsidR="00C14178">
        <w:t xml:space="preserve"> d</w:t>
      </w:r>
      <w:r w:rsidR="00591368">
        <w:t xml:space="preserve">irect comparison of the fluorescence </w:t>
      </w:r>
      <w:r w:rsidR="00C14178">
        <w:t>intensities</w:t>
      </w:r>
      <w:r w:rsidR="00591368">
        <w:t xml:space="preserve"> between data sets </w:t>
      </w:r>
      <w:r w:rsidR="00CE6650">
        <w:t xml:space="preserve">suffers </w:t>
      </w:r>
      <w:r w:rsidR="003D3439">
        <w:t xml:space="preserve"> from drift</w:t>
      </w:r>
      <w:r w:rsidR="00245E34">
        <w:t xml:space="preserve"> of the</w:t>
      </w:r>
      <w:r w:rsidR="003D3439">
        <w:t xml:space="preserve"> </w:t>
      </w:r>
      <w:r w:rsidR="00B76AEA">
        <w:t>fluorescence detector</w:t>
      </w:r>
      <w:r w:rsidR="003D3439">
        <w:t>, as well as slight changes in the absolute RNA concentration.</w:t>
      </w:r>
    </w:p>
    <w:p w:rsidR="00636915" w:rsidRPr="00B56E8C" w:rsidRDefault="00636915" w:rsidP="000D5B36">
      <w:pPr>
        <w:spacing w:line="480" w:lineRule="auto"/>
        <w:outlineLvl w:val="0"/>
        <w:rPr>
          <w:b/>
        </w:rPr>
      </w:pPr>
      <w:r w:rsidRPr="00B56E8C">
        <w:rPr>
          <w:b/>
        </w:rPr>
        <w:t>Data fitting:</w:t>
      </w:r>
    </w:p>
    <w:p w:rsidR="00591368" w:rsidRDefault="00591368" w:rsidP="008C1B47">
      <w:pPr>
        <w:spacing w:line="480" w:lineRule="auto"/>
      </w:pPr>
      <w:r>
        <w:t xml:space="preserve">The normalized data curves </w:t>
      </w:r>
      <w:r w:rsidR="003D3439">
        <w:t xml:space="preserve">from </w:t>
      </w:r>
      <w:r w:rsidR="00293C60">
        <w:t>the</w:t>
      </w:r>
      <w:r w:rsidR="003D3439">
        <w:t xml:space="preserve"> 1061AP, 1067AP, 1069AP, 1070AP, a</w:t>
      </w:r>
      <w:r w:rsidR="00293C60">
        <w:t xml:space="preserve">nd 1095AP constructs were grouped </w:t>
      </w:r>
      <w:r w:rsidR="00B76AEA">
        <w:t>by</w:t>
      </w:r>
      <w:r w:rsidR="00293C60">
        <w:t xml:space="preserve"> ion concentration and identity.  Each group was </w:t>
      </w:r>
      <w:r>
        <w:t xml:space="preserve">globally fit to a sum of three exponentials </w:t>
      </w:r>
      <w:r w:rsidR="00DD0147">
        <w:t xml:space="preserve">(n=3) </w:t>
      </w:r>
      <w:r>
        <w:t>(</w:t>
      </w:r>
      <w:r w:rsidR="00530327">
        <w:t>DF</w:t>
      </w:r>
      <w:r w:rsidR="00AA1F3E">
        <w:t>1</w:t>
      </w:r>
      <w:r w:rsidR="00293C60">
        <w:t>)</w:t>
      </w:r>
      <w:r w:rsidR="00A90EEB">
        <w:t>.   G</w:t>
      </w:r>
      <w:r w:rsidR="00293C60">
        <w:t xml:space="preserve">lobal fitting </w:t>
      </w:r>
      <w:r w:rsidR="00DD0147">
        <w:t xml:space="preserve">was </w:t>
      </w:r>
      <w:r w:rsidR="00293C60">
        <w:t>accomplished by hold</w:t>
      </w:r>
      <w:r w:rsidR="002265A2">
        <w:t>ing</w:t>
      </w:r>
      <w:r w:rsidR="00293C60">
        <w:t xml:space="preserve"> the observed rates constant for each construct and letting the amplitudes vary independently of construct.  </w:t>
      </w:r>
      <w:r w:rsidR="00EE4BE3">
        <w:t>Goodness</w:t>
      </w:r>
      <w:r>
        <w:t xml:space="preserve"> </w:t>
      </w:r>
      <w:r w:rsidR="00EE4BE3">
        <w:t>of fit was determined by the sum of squar</w:t>
      </w:r>
      <w:r w:rsidR="004C0157">
        <w:t>e residuals (see Error/Method C</w:t>
      </w:r>
      <w:r w:rsidR="00EE4BE3">
        <w:t>omparison)</w:t>
      </w:r>
      <w:r w:rsidR="000A1C30">
        <w:t xml:space="preserve">. </w:t>
      </w:r>
      <w:r w:rsidR="00224F7E">
        <w:t xml:space="preserve"> </w:t>
      </w:r>
      <w:r w:rsidR="000A1C30">
        <w:t xml:space="preserve">Fitting was performed with </w:t>
      </w:r>
      <w:r w:rsidR="00DC0EF5">
        <w:t xml:space="preserve">nonlinear least squares, NLLS, </w:t>
      </w:r>
      <w:r w:rsidR="00DD0147">
        <w:t>O</w:t>
      </w:r>
      <w:r w:rsidR="00224F7E">
        <w:t>rigin</w:t>
      </w:r>
      <w:r w:rsidR="00913170">
        <w:t xml:space="preserve"> </w:t>
      </w:r>
      <w:r w:rsidR="00DD0147">
        <w:t>P</w:t>
      </w:r>
      <w:r w:rsidR="00913170">
        <w:t>ro softw</w:t>
      </w:r>
      <w:r w:rsidR="000A1C30">
        <w:t>are</w:t>
      </w:r>
      <w:r w:rsidR="00A935EC">
        <w:t xml:space="preserve"> (Originlab)</w:t>
      </w:r>
      <w:r w:rsidR="00224F7E">
        <w:t>.</w:t>
      </w:r>
    </w:p>
    <w:p w:rsidR="00AA1F3E" w:rsidRDefault="00530327" w:rsidP="008C1B47">
      <w:pPr>
        <w:spacing w:line="480" w:lineRule="auto"/>
      </w:pPr>
      <w:r>
        <w:t>(DF</w:t>
      </w:r>
      <w:r w:rsidR="00AA1F3E">
        <w:t>1</w:t>
      </w:r>
      <w:r>
        <w:t>)</w:t>
      </w:r>
    </w:p>
    <w:p w:rsidR="00AA1F3E" w:rsidRDefault="00AA1F3E" w:rsidP="008C1B47">
      <w:pPr>
        <w:spacing w:line="480" w:lineRule="auto"/>
      </w:pPr>
      <m:oMathPara>
        <m:oMath>
          <m:r>
            <w:rPr>
              <w:rFonts w:ascii="Cambria Math" w:hAnsi="Cambria Math"/>
            </w:rPr>
            <m:t>data</m:t>
          </m:r>
          <m:d>
            <m:dPr>
              <m:ctrlPr>
                <w:rPr>
                  <w:rFonts w:ascii="Cambria Math" w:hAnsi="Cambria Math"/>
                  <w:i/>
                </w:rPr>
              </m:ctrlPr>
            </m:dPr>
            <m:e>
              <m:r>
                <w:rPr>
                  <w:rFonts w:ascii="Cambria Math" w:hAnsi="Cambria Math"/>
                </w:rPr>
                <m:t>t</m:t>
              </m:r>
            </m:e>
          </m:d>
          <m:r>
            <w:rPr>
              <w:rFonts w:ascii="Cambria Math" w:hAnsi="Cambria Math"/>
            </w:rPr>
            <m:t>=offset+</m:t>
          </m:r>
          <m:nary>
            <m:naryPr>
              <m:chr m:val="∑"/>
              <m:limLoc m:val="undOvr"/>
              <m:supHide m:val="1"/>
              <m:ctrlPr>
                <w:rPr>
                  <w:rFonts w:ascii="Cambria Math" w:hAnsi="Cambria Math"/>
                  <w:i/>
                </w:rPr>
              </m:ctrlPr>
            </m:naryPr>
            <m:sub>
              <m:r>
                <w:rPr>
                  <w:rFonts w:ascii="Cambria Math" w:hAnsi="Cambria Math"/>
                </w:rPr>
                <m:t>n=3</m:t>
              </m:r>
            </m:sub>
            <m:sup/>
            <m:e>
              <m:sSub>
                <m:sSubPr>
                  <m:ctrlPr>
                    <w:rPr>
                      <w:rFonts w:ascii="Cambria Math" w:hAnsi="Cambria Math"/>
                      <w:i/>
                    </w:rPr>
                  </m:ctrlPr>
                </m:sSubPr>
                <m:e>
                  <m:r>
                    <w:rPr>
                      <w:rFonts w:ascii="Cambria Math" w:hAnsi="Cambria Math"/>
                    </w:rPr>
                    <m:t>A</m:t>
                  </m:r>
                </m:e>
                <m:sub>
                  <m:r>
                    <w:rPr>
                      <w:rFonts w:ascii="Cambria Math" w:hAnsi="Cambria Math"/>
                    </w:rPr>
                    <m:t>n</m:t>
                  </m:r>
                </m:sub>
              </m:sSub>
              <m:sSup>
                <m:sSupPr>
                  <m:ctrlPr>
                    <w:rPr>
                      <w:rFonts w:ascii="Cambria Math" w:hAnsi="Cambria Math"/>
                      <w:i/>
                    </w:rPr>
                  </m:ctrlPr>
                </m:sSupPr>
                <m:e>
                  <m:r>
                    <w:rPr>
                      <w:rFonts w:ascii="Cambria Math" w:hAnsi="Cambria Math"/>
                    </w:rPr>
                    <m:t>e</m:t>
                  </m:r>
                </m:e>
                <m:sup>
                  <m:r>
                    <w:rPr>
                      <w:rFonts w:ascii="Cambria Math" w:hAnsi="Cambria Math"/>
                    </w:rPr>
                    <m:t>-t*</m:t>
                  </m:r>
                  <m:sSub>
                    <m:sSubPr>
                      <m:ctrlPr>
                        <w:rPr>
                          <w:rFonts w:ascii="Cambria Math" w:hAnsi="Cambria Math"/>
                          <w:i/>
                        </w:rPr>
                      </m:ctrlPr>
                    </m:sSubPr>
                    <m:e>
                      <m:r>
                        <w:rPr>
                          <w:rFonts w:ascii="Cambria Math" w:hAnsi="Cambria Math"/>
                        </w:rPr>
                        <m:t>k</m:t>
                      </m:r>
                    </m:e>
                    <m:sub>
                      <m:r>
                        <w:rPr>
                          <w:rFonts w:ascii="Cambria Math" w:hAnsi="Cambria Math"/>
                        </w:rPr>
                        <m:t>observed n</m:t>
                      </m:r>
                    </m:sub>
                  </m:sSub>
                </m:sup>
              </m:sSup>
            </m:e>
          </m:nary>
        </m:oMath>
      </m:oMathPara>
    </w:p>
    <w:p w:rsidR="007C1699" w:rsidRDefault="007C1699" w:rsidP="000D5B36">
      <w:pPr>
        <w:spacing w:line="480" w:lineRule="auto"/>
        <w:outlineLvl w:val="0"/>
        <w:rPr>
          <w:b/>
        </w:rPr>
      </w:pPr>
      <w:r>
        <w:rPr>
          <w:b/>
        </w:rPr>
        <w:lastRenderedPageBreak/>
        <w:t>Primer</w:t>
      </w:r>
    </w:p>
    <w:p w:rsidR="007C1699" w:rsidRDefault="007C1699" w:rsidP="008C1B47">
      <w:pPr>
        <w:spacing w:line="480" w:lineRule="auto"/>
      </w:pPr>
      <w:r>
        <w:t>Chemical kinetics is a well-studied subject that can define the (inter)conversion of chemical species as a function of time.  The following section provides a brief overview of chemical kinetics and introduces the concepts and symbo</w:t>
      </w:r>
      <w:r w:rsidR="002B5340">
        <w:t xml:space="preserve">ls </w:t>
      </w:r>
      <w:r>
        <w:t>used in the subsequent sections.</w:t>
      </w:r>
    </w:p>
    <w:p w:rsidR="007C1699" w:rsidRDefault="007C1699" w:rsidP="008C1B47">
      <w:pPr>
        <w:spacing w:line="480" w:lineRule="auto"/>
      </w:pPr>
      <w:r>
        <w:t xml:space="preserve">A kinetic mechanism is a </w:t>
      </w:r>
      <w:r w:rsidR="00732584">
        <w:t>quantitative</w:t>
      </w:r>
      <w:r>
        <w:t xml:space="preserve"> </w:t>
      </w:r>
      <w:r w:rsidR="00732584">
        <w:t>description</w:t>
      </w:r>
      <w:r>
        <w:t xml:space="preserve"> of the </w:t>
      </w:r>
      <w:r w:rsidR="00732584">
        <w:t>conversion</w:t>
      </w:r>
      <w:r>
        <w:t>, or inter</w:t>
      </w:r>
      <w:r w:rsidR="00732584">
        <w:t>-</w:t>
      </w:r>
      <w:r>
        <w:t xml:space="preserve">conversion, of chemical states.  We have opted to </w:t>
      </w:r>
      <w:r w:rsidR="00732584">
        <w:t>use</w:t>
      </w:r>
      <w:r>
        <w:t xml:space="preserve"> the term state because chemical kinetics </w:t>
      </w:r>
      <w:r w:rsidR="00AA1F3E">
        <w:t xml:space="preserve">offers a mathematical frame work that </w:t>
      </w:r>
      <w:r>
        <w:t xml:space="preserve">is agnostic of the physical form of the molecules it describes.  This allows us to describe the system </w:t>
      </w:r>
      <w:r w:rsidR="00AA1F3E">
        <w:t xml:space="preserve">in a pure form </w:t>
      </w:r>
      <w:r w:rsidR="005D7B56">
        <w:t>without</w:t>
      </w:r>
      <w:r>
        <w:t xml:space="preserve"> having to worry about </w:t>
      </w:r>
      <w:r w:rsidR="008A39A1">
        <w:t xml:space="preserve">the further complication of </w:t>
      </w:r>
      <w:r>
        <w:t>representing our system in terms of discrete conformations or ensembles.</w:t>
      </w:r>
    </w:p>
    <w:p w:rsidR="008A39A1" w:rsidRDefault="007C1699" w:rsidP="008C1B47">
      <w:pPr>
        <w:spacing w:line="480" w:lineRule="auto"/>
      </w:pPr>
      <w:r>
        <w:t>For the purposes of illustration we present a simple kinetic mechanism (P1) where a macromolecule binds to a ligand.</w:t>
      </w:r>
    </w:p>
    <w:p w:rsidR="007C1699" w:rsidRDefault="007C1699" w:rsidP="008C1B47">
      <w:pPr>
        <w:spacing w:line="480" w:lineRule="auto"/>
      </w:pPr>
      <w:r>
        <w:t>(P1)</w:t>
      </w:r>
    </w:p>
    <w:p w:rsidR="008A39A1" w:rsidRDefault="00D26904" w:rsidP="008C1B47">
      <w:pPr>
        <w:spacing w:line="480" w:lineRule="auto"/>
      </w:pPr>
      <m:oMathPara>
        <m:oMath>
          <m:box>
            <m:boxPr>
              <m:opEmu m:val="1"/>
              <m:ctrlPr>
                <w:rPr>
                  <w:rFonts w:ascii="Cambria Math" w:hAnsi="Cambria Math"/>
                  <w:i/>
                </w:rPr>
              </m:ctrlPr>
            </m:boxPr>
            <m:e>
              <m:r>
                <w:rPr>
                  <w:rFonts w:ascii="Cambria Math" w:hAnsi="Cambria Math"/>
                </w:rPr>
                <m:t xml:space="preserve">A+L </m:t>
              </m:r>
              <m:sPre>
                <m:sPrePr>
                  <m:ctrlPr>
                    <w:rPr>
                      <w:rFonts w:ascii="Cambria Math" w:hAnsi="Cambria Math"/>
                      <w:i/>
                    </w:rPr>
                  </m:ctrlPr>
                </m:sPrePr>
                <m:sub>
                  <m:groupChr>
                    <m:groupChrPr>
                      <m:chr m:val="←"/>
                      <m:pos m:val="top"/>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1r</m:t>
                          </m:r>
                        </m:sub>
                      </m:sSub>
                    </m:e>
                  </m:groupChr>
                </m:sub>
                <m:sup>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1f</m:t>
                          </m:r>
                        </m:sub>
                      </m:sSub>
                    </m:e>
                  </m:groupChr>
                </m:sup>
                <m:e>
                  <m:r>
                    <w:rPr>
                      <w:rFonts w:ascii="Cambria Math" w:hAnsi="Cambria Math"/>
                    </w:rPr>
                    <m:t xml:space="preserve"> AL</m:t>
                  </m:r>
                </m:e>
              </m:sPre>
              <m:r>
                <w:rPr>
                  <w:rFonts w:ascii="Cambria Math" w:hAnsi="Cambria Math"/>
                </w:rPr>
                <m:t xml:space="preserve"> </m:t>
              </m:r>
              <m:sPre>
                <m:sPrePr>
                  <m:ctrlPr>
                    <w:rPr>
                      <w:rFonts w:ascii="Cambria Math" w:hAnsi="Cambria Math"/>
                      <w:i/>
                    </w:rPr>
                  </m:ctrlPr>
                </m:sPrePr>
                <m:sub>
                  <m:groupChr>
                    <m:groupChrPr>
                      <m:chr m:val="←"/>
                      <m:pos m:val="top"/>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2r</m:t>
                          </m:r>
                        </m:sub>
                      </m:sSub>
                    </m:e>
                  </m:groupChr>
                </m:sub>
                <m:sup>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2f</m:t>
                          </m:r>
                        </m:sub>
                      </m:sSub>
                    </m:e>
                  </m:groupChr>
                </m:sup>
                <m:e>
                  <m:r>
                    <w:rPr>
                      <w:rFonts w:ascii="Cambria Math" w:hAnsi="Cambria Math"/>
                    </w:rPr>
                    <m:t>BL</m:t>
                  </m:r>
                </m:e>
              </m:sPre>
            </m:e>
          </m:box>
        </m:oMath>
      </m:oMathPara>
    </w:p>
    <w:p w:rsidR="0073358F" w:rsidRDefault="007C1699" w:rsidP="008C1B47">
      <w:pPr>
        <w:spacing w:line="480" w:lineRule="auto"/>
      </w:pPr>
      <w:r>
        <w:t xml:space="preserve">This mechanism describes a three state system where a macromolecule (A) binds to a ligand (L) to create a complex (AL) which can interconvert to </w:t>
      </w:r>
      <w:r w:rsidR="00D820FC">
        <w:t xml:space="preserve">a </w:t>
      </w:r>
      <w:r>
        <w:t>new species (BL).</w:t>
      </w:r>
      <w:r w:rsidR="0073358F">
        <w:t xml:space="preserve">  The rate of conversion and inter</w:t>
      </w:r>
      <w:r w:rsidR="00D820FC">
        <w:t>-</w:t>
      </w:r>
      <w:r w:rsidR="0073358F">
        <w:t>conversion of these states are governed by the rate constants (k</w:t>
      </w:r>
      <w:r w:rsidR="0073358F">
        <w:rPr>
          <w:vertAlign w:val="subscript"/>
        </w:rPr>
        <w:t>1f</w:t>
      </w:r>
      <w:r w:rsidR="0073358F">
        <w:t>, k</w:t>
      </w:r>
      <w:r w:rsidR="0073358F">
        <w:rPr>
          <w:vertAlign w:val="subscript"/>
        </w:rPr>
        <w:t>1r</w:t>
      </w:r>
      <w:r w:rsidR="0073358F" w:rsidRPr="0073358F">
        <w:t>,</w:t>
      </w:r>
      <w:r w:rsidR="0073358F">
        <w:t xml:space="preserve"> k</w:t>
      </w:r>
      <w:r w:rsidR="0073358F">
        <w:rPr>
          <w:vertAlign w:val="subscript"/>
        </w:rPr>
        <w:t>2f</w:t>
      </w:r>
      <w:r w:rsidR="0073358F">
        <w:t>, and k</w:t>
      </w:r>
      <w:r w:rsidR="0073358F">
        <w:rPr>
          <w:vertAlign w:val="subscript"/>
        </w:rPr>
        <w:t>2r</w:t>
      </w:r>
      <w:r w:rsidR="0073358F">
        <w:t xml:space="preserve">) and the concentration of ligand (L).  To discount the role of the concentration of ligand we assume that the concentration of L is much higher than the sum of concentrations of the three macromolecular species.  The quantitative relationship between the </w:t>
      </w:r>
      <w:r w:rsidR="00B668E1">
        <w:t>concentrations</w:t>
      </w:r>
      <w:r w:rsidR="0073358F">
        <w:t xml:space="preserve"> of these states is shown in the chemical master equation</w:t>
      </w:r>
      <w:r w:rsidR="00AF7D04">
        <w:t xml:space="preserve"> which we can decompose</w:t>
      </w:r>
      <w:r w:rsidR="006344C1">
        <w:t xml:space="preserve"> in</w:t>
      </w:r>
      <w:r w:rsidR="0073358F">
        <w:t>to a set of linear equations that describe the concentration of each state (</w:t>
      </w:r>
      <w:r w:rsidR="0078745F">
        <w:t>P</w:t>
      </w:r>
      <w:r w:rsidR="006344C1">
        <w:t>2</w:t>
      </w:r>
      <w:r w:rsidR="0073358F">
        <w:t>).</w:t>
      </w:r>
    </w:p>
    <w:p w:rsidR="0073358F" w:rsidRDefault="0073358F" w:rsidP="008C1B47">
      <w:pPr>
        <w:spacing w:line="480" w:lineRule="auto"/>
      </w:pPr>
      <w:r>
        <w:t>(</w:t>
      </w:r>
      <w:r w:rsidR="0078745F">
        <w:t>P</w:t>
      </w:r>
      <w:r w:rsidR="00AF7D04">
        <w:t>2</w:t>
      </w:r>
      <w:r>
        <w:t>)</w:t>
      </w:r>
    </w:p>
    <w:p w:rsidR="00AF7D04" w:rsidRPr="00E0491C" w:rsidRDefault="00D26904" w:rsidP="008C1B47">
      <w:pPr>
        <w:spacing w:line="480" w:lineRule="auto"/>
        <w:rPr>
          <w:rFonts w:eastAsiaTheme="minorEastAsia"/>
        </w:rPr>
      </w:pPr>
      <m:oMathPara>
        <m:oMath>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L</m:t>
              </m:r>
            </m:e>
          </m:d>
          <m:d>
            <m:dPr>
              <m:begChr m:val="["/>
              <m:endChr m:val="]"/>
              <m:ctrlPr>
                <w:rPr>
                  <w:rFonts w:ascii="Cambria Math" w:hAnsi="Cambria Math"/>
                  <w:i/>
                </w:rPr>
              </m:ctrlPr>
            </m:dPr>
            <m:e>
              <m:r>
                <w:rPr>
                  <w:rFonts w:ascii="Cambria Math" w:hAnsi="Cambria Math"/>
                </w:rPr>
                <m:t>A</m:t>
              </m:r>
            </m:e>
          </m:d>
          <m:sSub>
            <m:sSubPr>
              <m:ctrlPr>
                <w:rPr>
                  <w:rFonts w:ascii="Cambria Math" w:hAnsi="Cambria Math"/>
                  <w:i/>
                </w:rPr>
              </m:ctrlPr>
            </m:sSubPr>
            <m:e>
              <m:r>
                <w:rPr>
                  <w:rFonts w:ascii="Cambria Math" w:hAnsi="Cambria Math"/>
                </w:rPr>
                <m:t>k</m:t>
              </m:r>
            </m:e>
            <m:sub>
              <m:r>
                <w:rPr>
                  <w:rFonts w:ascii="Cambria Math" w:hAnsi="Cambria Math"/>
                </w:rPr>
                <m:t>1f</m:t>
              </m:r>
            </m:sub>
          </m:sSub>
          <m:r>
            <w:rPr>
              <w:rFonts w:ascii="Cambria Math" w:hAnsi="Cambria Math"/>
            </w:rPr>
            <m:t>+</m:t>
          </m:r>
          <m:d>
            <m:dPr>
              <m:begChr m:val="["/>
              <m:endChr m:val="]"/>
              <m:ctrlPr>
                <w:rPr>
                  <w:rFonts w:ascii="Cambria Math" w:hAnsi="Cambria Math"/>
                  <w:i/>
                </w:rPr>
              </m:ctrlPr>
            </m:dPr>
            <m:e>
              <m:r>
                <w:rPr>
                  <w:rFonts w:ascii="Cambria Math" w:hAnsi="Cambria Math"/>
                </w:rPr>
                <m:t>AL</m:t>
              </m:r>
            </m:e>
          </m:d>
          <m:sSub>
            <m:sSubPr>
              <m:ctrlPr>
                <w:rPr>
                  <w:rFonts w:ascii="Cambria Math" w:hAnsi="Cambria Math"/>
                  <w:i/>
                </w:rPr>
              </m:ctrlPr>
            </m:sSubPr>
            <m:e>
              <m:r>
                <w:rPr>
                  <w:rFonts w:ascii="Cambria Math" w:hAnsi="Cambria Math"/>
                </w:rPr>
                <m:t>k</m:t>
              </m:r>
            </m:e>
            <m:sub>
              <m:r>
                <w:rPr>
                  <w:rFonts w:ascii="Cambria Math" w:hAnsi="Cambria Math"/>
                </w:rPr>
                <m:t>1r</m:t>
              </m:r>
            </m:sub>
          </m:sSub>
        </m:oMath>
      </m:oMathPara>
    </w:p>
    <w:p w:rsidR="00E0491C" w:rsidRPr="00E0491C" w:rsidRDefault="00D26904" w:rsidP="008C1B47">
      <w:pPr>
        <w:spacing w:line="480" w:lineRule="auto"/>
        <w:rPr>
          <w:rFonts w:eastAsiaTheme="minorEastAsia"/>
        </w:rPr>
      </w:pPr>
      <m:oMathPara>
        <m:oMath>
          <m:d>
            <m:dPr>
              <m:begChr m:val="["/>
              <m:endChr m:val="]"/>
              <m:ctrlPr>
                <w:rPr>
                  <w:rFonts w:ascii="Cambria Math" w:hAnsi="Cambria Math"/>
                  <w:i/>
                </w:rPr>
              </m:ctrlPr>
            </m:dPr>
            <m:e>
              <m:r>
                <w:rPr>
                  <w:rFonts w:ascii="Cambria Math" w:hAnsi="Cambria Math"/>
                </w:rPr>
                <m:t>AL</m:t>
              </m:r>
            </m:e>
          </m:d>
          <m:r>
            <w:rPr>
              <w:rFonts w:ascii="Cambria Math" w:hAnsi="Cambria Math"/>
            </w:rPr>
            <m:t>=</m:t>
          </m:r>
          <m:d>
            <m:dPr>
              <m:begChr m:val="["/>
              <m:endChr m:val="]"/>
              <m:ctrlPr>
                <w:rPr>
                  <w:rFonts w:ascii="Cambria Math" w:hAnsi="Cambria Math"/>
                  <w:i/>
                </w:rPr>
              </m:ctrlPr>
            </m:dPr>
            <m:e>
              <m:r>
                <w:rPr>
                  <w:rFonts w:ascii="Cambria Math" w:hAnsi="Cambria Math"/>
                </w:rPr>
                <m:t>L</m:t>
              </m:r>
            </m:e>
          </m:d>
          <m:d>
            <m:dPr>
              <m:begChr m:val="["/>
              <m:endChr m:val="]"/>
              <m:ctrlPr>
                <w:rPr>
                  <w:rFonts w:ascii="Cambria Math" w:hAnsi="Cambria Math"/>
                  <w:i/>
                </w:rPr>
              </m:ctrlPr>
            </m:dPr>
            <m:e>
              <m:r>
                <w:rPr>
                  <w:rFonts w:ascii="Cambria Math" w:hAnsi="Cambria Math"/>
                </w:rPr>
                <m:t>A</m:t>
              </m:r>
            </m:e>
          </m:d>
          <m:sSub>
            <m:sSubPr>
              <m:ctrlPr>
                <w:rPr>
                  <w:rFonts w:ascii="Cambria Math" w:hAnsi="Cambria Math"/>
                  <w:i/>
                </w:rPr>
              </m:ctrlPr>
            </m:sSubPr>
            <m:e>
              <m:r>
                <w:rPr>
                  <w:rFonts w:ascii="Cambria Math" w:hAnsi="Cambria Math"/>
                </w:rPr>
                <m:t>k</m:t>
              </m:r>
            </m:e>
            <m:sub>
              <m:r>
                <w:rPr>
                  <w:rFonts w:ascii="Cambria Math" w:hAnsi="Cambria Math"/>
                </w:rPr>
                <m:t>1f</m:t>
              </m:r>
            </m:sub>
          </m:sSub>
          <m:r>
            <w:rPr>
              <w:rFonts w:ascii="Cambria Math" w:hAnsi="Cambria Math"/>
            </w:rPr>
            <m:t>-</m:t>
          </m:r>
          <m:d>
            <m:dPr>
              <m:begChr m:val="["/>
              <m:endChr m:val="]"/>
              <m:ctrlPr>
                <w:rPr>
                  <w:rFonts w:ascii="Cambria Math" w:hAnsi="Cambria Math"/>
                  <w:i/>
                </w:rPr>
              </m:ctrlPr>
            </m:dPr>
            <m:e>
              <m:r>
                <w:rPr>
                  <w:rFonts w:ascii="Cambria Math" w:hAnsi="Cambria Math"/>
                </w:rPr>
                <m:t>AL</m:t>
              </m:r>
            </m:e>
          </m:d>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1r</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2f</m:t>
                  </m:r>
                </m:sub>
              </m:sSub>
            </m:e>
          </m:d>
          <m:r>
            <w:rPr>
              <w:rFonts w:ascii="Cambria Math" w:hAnsi="Cambria Math"/>
            </w:rPr>
            <m:t>+[BL]</m:t>
          </m:r>
          <m:sSub>
            <m:sSubPr>
              <m:ctrlPr>
                <w:rPr>
                  <w:rFonts w:ascii="Cambria Math" w:hAnsi="Cambria Math"/>
                  <w:i/>
                </w:rPr>
              </m:ctrlPr>
            </m:sSubPr>
            <m:e>
              <m:r>
                <w:rPr>
                  <w:rFonts w:ascii="Cambria Math" w:hAnsi="Cambria Math"/>
                </w:rPr>
                <m:t>k</m:t>
              </m:r>
            </m:e>
            <m:sub>
              <m:r>
                <w:rPr>
                  <w:rFonts w:ascii="Cambria Math" w:hAnsi="Cambria Math"/>
                </w:rPr>
                <m:t>2r</m:t>
              </m:r>
            </m:sub>
          </m:sSub>
        </m:oMath>
      </m:oMathPara>
    </w:p>
    <w:p w:rsidR="00E0491C" w:rsidRPr="00E0491C" w:rsidRDefault="00D26904" w:rsidP="008C1B47">
      <w:pPr>
        <w:spacing w:line="480" w:lineRule="auto"/>
        <w:rPr>
          <w:rFonts w:eastAsiaTheme="minorEastAsia"/>
        </w:rPr>
      </w:pPr>
      <m:oMathPara>
        <m:oMath>
          <m:d>
            <m:dPr>
              <m:begChr m:val="["/>
              <m:endChr m:val="]"/>
              <m:ctrlPr>
                <w:rPr>
                  <w:rFonts w:ascii="Cambria Math" w:hAnsi="Cambria Math"/>
                  <w:i/>
                </w:rPr>
              </m:ctrlPr>
            </m:dPr>
            <m:e>
              <m:r>
                <w:rPr>
                  <w:rFonts w:ascii="Cambria Math" w:hAnsi="Cambria Math"/>
                </w:rPr>
                <m:t>BL</m:t>
              </m:r>
            </m:e>
          </m:d>
          <m:r>
            <w:rPr>
              <w:rFonts w:ascii="Cambria Math" w:hAnsi="Cambria Math"/>
            </w:rPr>
            <m:t>=</m:t>
          </m:r>
          <m:d>
            <m:dPr>
              <m:begChr m:val="["/>
              <m:endChr m:val="]"/>
              <m:ctrlPr>
                <w:rPr>
                  <w:rFonts w:ascii="Cambria Math" w:hAnsi="Cambria Math"/>
                  <w:i/>
                </w:rPr>
              </m:ctrlPr>
            </m:dPr>
            <m:e>
              <m:r>
                <w:rPr>
                  <w:rFonts w:ascii="Cambria Math" w:hAnsi="Cambria Math"/>
                </w:rPr>
                <m:t>AL</m:t>
              </m:r>
            </m:e>
          </m:d>
          <m:sSub>
            <m:sSubPr>
              <m:ctrlPr>
                <w:rPr>
                  <w:rFonts w:ascii="Cambria Math" w:hAnsi="Cambria Math"/>
                  <w:i/>
                </w:rPr>
              </m:ctrlPr>
            </m:sSubPr>
            <m:e>
              <m:r>
                <w:rPr>
                  <w:rFonts w:ascii="Cambria Math" w:hAnsi="Cambria Math"/>
                </w:rPr>
                <m:t>k</m:t>
              </m:r>
            </m:e>
            <m:sub>
              <m:r>
                <w:rPr>
                  <w:rFonts w:ascii="Cambria Math" w:hAnsi="Cambria Math"/>
                </w:rPr>
                <m:t>2f</m:t>
              </m:r>
            </m:sub>
          </m:sSub>
          <m:r>
            <w:rPr>
              <w:rFonts w:ascii="Cambria Math" w:hAnsi="Cambria Math"/>
            </w:rPr>
            <m:t>-</m:t>
          </m:r>
          <m:d>
            <m:dPr>
              <m:begChr m:val="["/>
              <m:endChr m:val="]"/>
              <m:ctrlPr>
                <w:rPr>
                  <w:rFonts w:ascii="Cambria Math" w:hAnsi="Cambria Math"/>
                  <w:i/>
                </w:rPr>
              </m:ctrlPr>
            </m:dPr>
            <m:e>
              <m:r>
                <w:rPr>
                  <w:rFonts w:ascii="Cambria Math" w:hAnsi="Cambria Math"/>
                </w:rPr>
                <m:t>BL</m:t>
              </m:r>
            </m:e>
          </m:d>
          <m:sSub>
            <m:sSubPr>
              <m:ctrlPr>
                <w:rPr>
                  <w:rFonts w:ascii="Cambria Math" w:hAnsi="Cambria Math"/>
                  <w:i/>
                </w:rPr>
              </m:ctrlPr>
            </m:sSubPr>
            <m:e>
              <m:r>
                <w:rPr>
                  <w:rFonts w:ascii="Cambria Math" w:hAnsi="Cambria Math"/>
                </w:rPr>
                <m:t>k</m:t>
              </m:r>
            </m:e>
            <m:sub>
              <m:r>
                <w:rPr>
                  <w:rFonts w:ascii="Cambria Math" w:hAnsi="Cambria Math"/>
                </w:rPr>
                <m:t>2r</m:t>
              </m:r>
            </m:sub>
          </m:sSub>
        </m:oMath>
      </m:oMathPara>
    </w:p>
    <w:p w:rsidR="0073358F" w:rsidRDefault="0073358F" w:rsidP="008C1B47">
      <w:pPr>
        <w:spacing w:line="480" w:lineRule="auto"/>
      </w:pPr>
      <w:r>
        <w:t>The system of equations in p</w:t>
      </w:r>
      <w:r w:rsidR="00AB375A">
        <w:t>2</w:t>
      </w:r>
      <w:r>
        <w:t xml:space="preserve"> can be shown in matrix format which is the representation that we will use </w:t>
      </w:r>
      <w:r w:rsidR="00AB375A">
        <w:t>henceforth</w:t>
      </w:r>
      <w:r>
        <w:t>.</w:t>
      </w:r>
      <w:r w:rsidR="00AB375A">
        <w:t xml:space="preserve">  For the purpose of clarity capital letters will be used to denote matrices and vectors, and lower case letters will be used to denote scal</w:t>
      </w:r>
      <w:r w:rsidR="006344C1">
        <w:t>a</w:t>
      </w:r>
      <w:r w:rsidR="00AB375A">
        <w:t>rs.</w:t>
      </w:r>
      <w:r>
        <w:t xml:space="preserve">  The system in </w:t>
      </w:r>
      <w:r w:rsidR="0078745F">
        <w:t>P</w:t>
      </w:r>
      <w:r w:rsidR="006344C1">
        <w:t>2</w:t>
      </w:r>
      <w:r>
        <w:t xml:space="preserve"> can be seen as the product of the rate matrix, M, and the vector of state concentrations (C) (</w:t>
      </w:r>
      <w:r w:rsidR="0078745F">
        <w:t>P</w:t>
      </w:r>
      <w:r w:rsidR="00AF7D04">
        <w:t>3</w:t>
      </w:r>
      <w:r>
        <w:t>).</w:t>
      </w:r>
    </w:p>
    <w:p w:rsidR="0073358F" w:rsidRDefault="0073358F" w:rsidP="008C1B47">
      <w:pPr>
        <w:spacing w:line="480" w:lineRule="auto"/>
      </w:pPr>
      <w:r>
        <w:t>(</w:t>
      </w:r>
      <w:r w:rsidR="0078745F">
        <w:t>P</w:t>
      </w:r>
      <w:r w:rsidR="00AF7D04">
        <w:t>3</w:t>
      </w:r>
      <w:r>
        <w:t>)</w:t>
      </w:r>
    </w:p>
    <w:p w:rsidR="00AB375A" w:rsidRPr="00AB375A" w:rsidRDefault="00AB375A" w:rsidP="008C1B47">
      <w:pPr>
        <w:spacing w:line="480" w:lineRule="auto"/>
        <w:rPr>
          <w:rFonts w:eastAsiaTheme="minorEastAsia"/>
        </w:rPr>
      </w:pPr>
      <m:oMathPara>
        <m:oMath>
          <m:r>
            <w:rPr>
              <w:rFonts w:ascii="Cambria Math" w:hAnsi="Cambria Math"/>
            </w:rPr>
            <m:t>M=</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m:t>
                        </m:r>
                        <m:d>
                          <m:dPr>
                            <m:begChr m:val="["/>
                            <m:endChr m:val="]"/>
                            <m:ctrlPr>
                              <w:rPr>
                                <w:rFonts w:ascii="Cambria Math" w:hAnsi="Cambria Math"/>
                                <w:i/>
                              </w:rPr>
                            </m:ctrlPr>
                          </m:dPr>
                          <m:e>
                            <m:r>
                              <w:rPr>
                                <w:rFonts w:ascii="Cambria Math" w:hAnsi="Cambria Math"/>
                              </w:rPr>
                              <m:t>L</m:t>
                            </m:r>
                          </m:e>
                        </m:d>
                        <m:r>
                          <w:rPr>
                            <w:rFonts w:ascii="Cambria Math" w:hAnsi="Cambria Math"/>
                          </w:rPr>
                          <m:t>k</m:t>
                        </m:r>
                      </m:e>
                      <m:sub>
                        <m:r>
                          <w:rPr>
                            <w:rFonts w:ascii="Cambria Math" w:hAnsi="Cambria Math"/>
                          </w:rPr>
                          <m:t>1f</m:t>
                        </m:r>
                      </m:sub>
                    </m:sSub>
                  </m:e>
                  <m:e>
                    <m:sSub>
                      <m:sSubPr>
                        <m:ctrlPr>
                          <w:rPr>
                            <w:rFonts w:ascii="Cambria Math" w:hAnsi="Cambria Math"/>
                            <w:i/>
                          </w:rPr>
                        </m:ctrlPr>
                      </m:sSubPr>
                      <m:e>
                        <m:r>
                          <w:rPr>
                            <w:rFonts w:ascii="Cambria Math" w:hAnsi="Cambria Math"/>
                          </w:rPr>
                          <m:t>k</m:t>
                        </m:r>
                      </m:e>
                      <m:sub>
                        <m:r>
                          <w:rPr>
                            <w:rFonts w:ascii="Cambria Math" w:hAnsi="Cambria Math"/>
                          </w:rPr>
                          <m:t>1r</m:t>
                        </m:r>
                      </m:sub>
                    </m:sSub>
                  </m:e>
                  <m:e>
                    <m:r>
                      <w:rPr>
                        <w:rFonts w:ascii="Cambria Math" w:hAnsi="Cambria Math"/>
                      </w:rPr>
                      <m:t>0</m:t>
                    </m:r>
                  </m:e>
                </m:mr>
                <m:mr>
                  <m:e>
                    <m:d>
                      <m:dPr>
                        <m:begChr m:val="["/>
                        <m:endChr m:val="]"/>
                        <m:ctrlPr>
                          <w:rPr>
                            <w:rFonts w:ascii="Cambria Math" w:hAnsi="Cambria Math"/>
                            <w:i/>
                          </w:rPr>
                        </m:ctrlPr>
                      </m:dPr>
                      <m:e>
                        <m:r>
                          <w:rPr>
                            <w:rFonts w:ascii="Cambria Math" w:hAnsi="Cambria Math"/>
                          </w:rPr>
                          <m:t>L</m:t>
                        </m:r>
                      </m:e>
                    </m:d>
                    <m:sSub>
                      <m:sSubPr>
                        <m:ctrlPr>
                          <w:rPr>
                            <w:rFonts w:ascii="Cambria Math" w:hAnsi="Cambria Math"/>
                            <w:i/>
                          </w:rPr>
                        </m:ctrlPr>
                      </m:sSubPr>
                      <m:e>
                        <m:r>
                          <w:rPr>
                            <w:rFonts w:ascii="Cambria Math" w:hAnsi="Cambria Math"/>
                          </w:rPr>
                          <m:t>k</m:t>
                        </m:r>
                      </m:e>
                      <m:sub>
                        <m:r>
                          <w:rPr>
                            <w:rFonts w:ascii="Cambria Math" w:hAnsi="Cambria Math"/>
                          </w:rPr>
                          <m:t>1f</m:t>
                        </m:r>
                      </m:sub>
                    </m:sSub>
                    <m:ctrlPr>
                      <w:rPr>
                        <w:rFonts w:ascii="Cambria Math" w:eastAsia="Cambria Math" w:hAnsi="Cambria Math" w:cs="Cambria Math"/>
                        <w:i/>
                      </w:rPr>
                    </m:ctrlPr>
                  </m:e>
                  <m:e>
                    <m:r>
                      <w:rPr>
                        <w:rFonts w:ascii="Cambria Math" w:eastAsia="Cambria Math" w:hAnsi="Cambria Math" w:cs="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1r</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2f</m:t>
                            </m:r>
                          </m:sub>
                        </m:sSub>
                      </m:e>
                    </m:d>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k</m:t>
                        </m:r>
                      </m:e>
                      <m:sub>
                        <m:r>
                          <w:rPr>
                            <w:rFonts w:ascii="Cambria Math" w:hAnsi="Cambria Math"/>
                          </w:rPr>
                          <m:t>2r</m:t>
                        </m:r>
                      </m:sub>
                    </m:sSub>
                    <m:ctrlPr>
                      <w:rPr>
                        <w:rFonts w:ascii="Cambria Math" w:eastAsia="Cambria Math" w:hAnsi="Cambria Math" w:cs="Cambria Math"/>
                        <w:i/>
                      </w:rPr>
                    </m:ctrlPr>
                  </m:e>
                </m:mr>
                <m:mr>
                  <m:e>
                    <m:r>
                      <w:rPr>
                        <w:rFonts w:ascii="Cambria Math" w:eastAsia="Cambria Math" w:hAnsi="Cambria Math" w:cs="Cambria Math"/>
                      </w:rPr>
                      <m:t>0</m:t>
                    </m:r>
                  </m:e>
                  <m:e>
                    <m:sSub>
                      <m:sSubPr>
                        <m:ctrlPr>
                          <w:rPr>
                            <w:rFonts w:ascii="Cambria Math" w:hAnsi="Cambria Math"/>
                            <w:i/>
                          </w:rPr>
                        </m:ctrlPr>
                      </m:sSubPr>
                      <m:e>
                        <m:r>
                          <w:rPr>
                            <w:rFonts w:ascii="Cambria Math" w:hAnsi="Cambria Math"/>
                          </w:rPr>
                          <m:t>k</m:t>
                        </m:r>
                      </m:e>
                      <m:sub>
                        <m:r>
                          <w:rPr>
                            <w:rFonts w:ascii="Cambria Math" w:hAnsi="Cambria Math"/>
                          </w:rPr>
                          <m:t>2f</m:t>
                        </m:r>
                      </m:sub>
                    </m:sSub>
                  </m:e>
                  <m:e>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2r</m:t>
                        </m:r>
                      </m:sub>
                    </m:sSub>
                  </m:e>
                </m:mr>
              </m:m>
            </m:e>
          </m:d>
        </m:oMath>
      </m:oMathPara>
    </w:p>
    <w:p w:rsidR="00AB375A" w:rsidRDefault="00AB375A" w:rsidP="008C1B47">
      <w:pPr>
        <w:spacing w:line="480" w:lineRule="auto"/>
      </w:pPr>
      <m:oMathPara>
        <m:oMath>
          <m:r>
            <w:rPr>
              <w:rFonts w:ascii="Cambria Math" w:hAnsi="Cambria Math"/>
            </w:rPr>
            <m:t>C=</m:t>
          </m:r>
          <m:d>
            <m:dPr>
              <m:begChr m:val="["/>
              <m:endChr m:val="]"/>
              <m:ctrlPr>
                <w:rPr>
                  <w:rFonts w:ascii="Cambria Math" w:hAnsi="Cambria Math"/>
                  <w:i/>
                </w:rPr>
              </m:ctrlPr>
            </m:dPr>
            <m:e>
              <m:m>
                <m:mPr>
                  <m:mcs>
                    <m:mc>
                      <m:mcPr>
                        <m:count m:val="1"/>
                        <m:mcJc m:val="center"/>
                      </m:mcPr>
                    </m:mc>
                  </m:mcs>
                  <m:ctrlPr>
                    <w:rPr>
                      <w:rFonts w:ascii="Cambria Math" w:hAnsi="Cambria Math"/>
                      <w:i/>
                    </w:rPr>
                  </m:ctrlPr>
                </m:mPr>
                <m:mr>
                  <m:e>
                    <m:d>
                      <m:dPr>
                        <m:begChr m:val="["/>
                        <m:endChr m:val="]"/>
                        <m:ctrlPr>
                          <w:rPr>
                            <w:rFonts w:ascii="Cambria Math" w:hAnsi="Cambria Math"/>
                            <w:i/>
                          </w:rPr>
                        </m:ctrlPr>
                      </m:dPr>
                      <m:e>
                        <m:r>
                          <w:rPr>
                            <w:rFonts w:ascii="Cambria Math" w:hAnsi="Cambria Math"/>
                          </w:rPr>
                          <m:t>A</m:t>
                        </m:r>
                      </m:e>
                    </m:d>
                  </m:e>
                </m:mr>
                <m:mr>
                  <m:e>
                    <m:d>
                      <m:dPr>
                        <m:begChr m:val="["/>
                        <m:endChr m:val="]"/>
                        <m:ctrlPr>
                          <w:rPr>
                            <w:rFonts w:ascii="Cambria Math" w:hAnsi="Cambria Math"/>
                            <w:i/>
                          </w:rPr>
                        </m:ctrlPr>
                      </m:dPr>
                      <m:e>
                        <m:r>
                          <w:rPr>
                            <w:rFonts w:ascii="Cambria Math" w:hAnsi="Cambria Math"/>
                          </w:rPr>
                          <m:t>AL</m:t>
                        </m:r>
                      </m:e>
                    </m:d>
                  </m:e>
                </m:mr>
                <m:mr>
                  <m:e>
                    <m:d>
                      <m:dPr>
                        <m:begChr m:val="["/>
                        <m:endChr m:val="]"/>
                        <m:ctrlPr>
                          <w:rPr>
                            <w:rFonts w:ascii="Cambria Math" w:hAnsi="Cambria Math"/>
                            <w:i/>
                          </w:rPr>
                        </m:ctrlPr>
                      </m:dPr>
                      <m:e>
                        <m:r>
                          <w:rPr>
                            <w:rFonts w:ascii="Cambria Math" w:hAnsi="Cambria Math"/>
                          </w:rPr>
                          <m:t>BL</m:t>
                        </m:r>
                      </m:e>
                    </m:d>
                  </m:e>
                </m:mr>
              </m:m>
            </m:e>
          </m:d>
        </m:oMath>
      </m:oMathPara>
    </w:p>
    <w:p w:rsidR="0073358F" w:rsidRDefault="00BD3714" w:rsidP="008C1B47">
      <w:pPr>
        <w:spacing w:line="480" w:lineRule="auto"/>
      </w:pPr>
      <w:r>
        <w:t>The rate of change of the concentrations of each state as a function of time is the product of the rate matrix M and the vector of the initial concentrations C</w:t>
      </w:r>
      <w:r>
        <w:rPr>
          <w:vertAlign w:val="subscript"/>
        </w:rPr>
        <w:t>0</w:t>
      </w:r>
      <w:r>
        <w:t xml:space="preserve"> (at time = 0)</w:t>
      </w:r>
      <w:r w:rsidR="00131269">
        <w:t xml:space="preserve"> </w:t>
      </w:r>
      <w:r>
        <w:t>(</w:t>
      </w:r>
      <w:r w:rsidR="0078745F">
        <w:t>P</w:t>
      </w:r>
      <w:r w:rsidR="00AF7D04">
        <w:t>4</w:t>
      </w:r>
      <w:r>
        <w:t>).</w:t>
      </w:r>
    </w:p>
    <w:p w:rsidR="00185801" w:rsidRDefault="00BD3714" w:rsidP="008C1B47">
      <w:pPr>
        <w:spacing w:line="480" w:lineRule="auto"/>
      </w:pPr>
      <w:r>
        <w:t>(</w:t>
      </w:r>
      <w:r w:rsidR="0078745F">
        <w:t>P</w:t>
      </w:r>
      <w:r w:rsidR="00AF7D04">
        <w:t>4</w:t>
      </w:r>
      <w:r>
        <w:t>)</w:t>
      </w:r>
    </w:p>
    <w:p w:rsidR="00BD3714" w:rsidRDefault="00185801" w:rsidP="008C1B47">
      <w:pPr>
        <w:spacing w:line="480" w:lineRule="auto"/>
      </w:pPr>
      <m:oMathPara>
        <m:oMath>
          <m:r>
            <w:rPr>
              <w:rFonts w:ascii="Cambria Math" w:hAnsi="Cambria Math"/>
            </w:rPr>
            <m:t>C</m:t>
          </m:r>
          <m:d>
            <m:dPr>
              <m:ctrlPr>
                <w:rPr>
                  <w:rFonts w:ascii="Cambria Math" w:hAnsi="Cambria Math"/>
                  <w:i/>
                </w:rPr>
              </m:ctrlPr>
            </m:dPr>
            <m:e>
              <m:r>
                <w:rPr>
                  <w:rFonts w:ascii="Cambria Math" w:hAnsi="Cambria Math"/>
                </w:rPr>
                <m:t>t</m:t>
              </m:r>
            </m:e>
          </m:d>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Mt</m:t>
              </m:r>
            </m:sup>
          </m:sSup>
          <m:r>
            <w:rPr>
              <w:rFonts w:ascii="Cambria Math" w:hAnsi="Cambria Math"/>
            </w:rPr>
            <m:t>C</m:t>
          </m:r>
          <m:sSub>
            <m:sSubPr>
              <m:ctrlPr>
                <w:rPr>
                  <w:rFonts w:ascii="Cambria Math" w:hAnsi="Cambria Math"/>
                  <w:i/>
                </w:rPr>
              </m:ctrlPr>
            </m:sSubPr>
            <m:e>
              <m:r>
                <m:rPr>
                  <m:sty m:val="p"/>
                </m:rPr>
                <w:rPr>
                  <w:rFonts w:ascii="Cambria Math" w:hAnsi="Cambria Math"/>
                </w:rPr>
                <w:softHyphen/>
              </m:r>
            </m:e>
            <m:sub>
              <m:r>
                <w:rPr>
                  <w:rFonts w:ascii="Cambria Math" w:hAnsi="Cambria Math"/>
                </w:rPr>
                <m:t>0</m:t>
              </m:r>
            </m:sub>
          </m:sSub>
        </m:oMath>
      </m:oMathPara>
    </w:p>
    <w:p w:rsidR="00BD3714" w:rsidRDefault="00BD3714" w:rsidP="008C1B47">
      <w:pPr>
        <w:spacing w:line="480" w:lineRule="auto"/>
      </w:pPr>
      <w:r>
        <w:t xml:space="preserve">We can relate the concentrations of each state to the spectroscopic signal observed during a kinetic time course by summing the product of the concentration of each species at a given time point by the state’s contribution </w:t>
      </w:r>
      <w:r w:rsidR="006344C1">
        <w:t>to the</w:t>
      </w:r>
      <w:r>
        <w:t xml:space="preserve"> spectroscopic signal (in our case the molar fluorescence intensity) shown in </w:t>
      </w:r>
      <w:r w:rsidR="00185801">
        <w:lastRenderedPageBreak/>
        <w:t xml:space="preserve">standard and </w:t>
      </w:r>
      <w:r>
        <w:t xml:space="preserve">matrix notation in figure </w:t>
      </w:r>
      <w:r w:rsidR="0078745F">
        <w:t>P</w:t>
      </w:r>
      <w:r w:rsidR="00AF7D04">
        <w:t>5</w:t>
      </w:r>
      <w:r>
        <w:t>.</w:t>
      </w:r>
      <w:r w:rsidR="00185801">
        <w:t xml:space="preserve"> Lowercase f is the molar signal intensity of a single s</w:t>
      </w:r>
      <w:r w:rsidR="00397369">
        <w:t>tate</w:t>
      </w:r>
      <w:r w:rsidR="00185801">
        <w:t xml:space="preserve">, capital </w:t>
      </w:r>
      <w:r w:rsidR="00F5499B">
        <w:t>F</w:t>
      </w:r>
      <w:r w:rsidR="00185801">
        <w:t xml:space="preserve"> is the vector of all individual molar intensities, and s is the total observable signal</w:t>
      </w:r>
      <w:r w:rsidR="00397369">
        <w:t>.</w:t>
      </w:r>
    </w:p>
    <w:p w:rsidR="00BD3714" w:rsidRDefault="00BD3714" w:rsidP="008C1B47">
      <w:pPr>
        <w:spacing w:line="480" w:lineRule="auto"/>
      </w:pPr>
      <w:r>
        <w:t>(</w:t>
      </w:r>
      <w:r w:rsidR="0078745F">
        <w:t>P</w:t>
      </w:r>
      <w:r w:rsidR="00AF7D04">
        <w:t>5</w:t>
      </w:r>
      <w:r>
        <w:t>)</w:t>
      </w:r>
    </w:p>
    <w:p w:rsidR="00185801" w:rsidRPr="00185801" w:rsidRDefault="00D26904" w:rsidP="008C1B47">
      <w:pPr>
        <w:spacing w:line="480" w:lineRule="auto"/>
        <w:rPr>
          <w:rFonts w:eastAsiaTheme="minorEastAsia"/>
        </w:rPr>
      </w:pPr>
      <m:oMathPara>
        <m:oMath>
          <m:d>
            <m:dPr>
              <m:begChr m:val="["/>
              <m:endChr m:val="]"/>
              <m:ctrlPr>
                <w:rPr>
                  <w:rFonts w:ascii="Cambria Math" w:hAnsi="Cambria Math"/>
                  <w:i/>
                </w:rPr>
              </m:ctrlPr>
            </m:dPr>
            <m:e>
              <m:r>
                <w:rPr>
                  <w:rFonts w:ascii="Cambria Math" w:hAnsi="Cambria Math"/>
                </w:rPr>
                <m:t>A</m:t>
              </m:r>
            </m:e>
          </m:d>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rPr>
            <m:t>+</m:t>
          </m:r>
          <m:d>
            <m:dPr>
              <m:begChr m:val="["/>
              <m:endChr m:val="]"/>
              <m:ctrlPr>
                <w:rPr>
                  <w:rFonts w:ascii="Cambria Math" w:hAnsi="Cambria Math"/>
                  <w:i/>
                </w:rPr>
              </m:ctrlPr>
            </m:dPr>
            <m:e>
              <m:r>
                <w:rPr>
                  <w:rFonts w:ascii="Cambria Math" w:hAnsi="Cambria Math"/>
                </w:rPr>
                <m:t>AL</m:t>
              </m:r>
            </m:e>
          </m:d>
          <m:sSub>
            <m:sSubPr>
              <m:ctrlPr>
                <w:rPr>
                  <w:rFonts w:ascii="Cambria Math" w:hAnsi="Cambria Math"/>
                  <w:i/>
                </w:rPr>
              </m:ctrlPr>
            </m:sSubPr>
            <m:e>
              <m:r>
                <w:rPr>
                  <w:rFonts w:ascii="Cambria Math" w:hAnsi="Cambria Math"/>
                </w:rPr>
                <m:t>f</m:t>
              </m:r>
            </m:e>
            <m:sub>
              <m:r>
                <w:rPr>
                  <w:rFonts w:ascii="Cambria Math" w:hAnsi="Cambria Math"/>
                </w:rPr>
                <m:t>AL</m:t>
              </m:r>
            </m:sub>
          </m:sSub>
          <m:r>
            <w:rPr>
              <w:rFonts w:ascii="Cambria Math" w:hAnsi="Cambria Math"/>
            </w:rPr>
            <m:t>+</m:t>
          </m:r>
          <m:d>
            <m:dPr>
              <m:begChr m:val="["/>
              <m:endChr m:val="]"/>
              <m:ctrlPr>
                <w:rPr>
                  <w:rFonts w:ascii="Cambria Math" w:hAnsi="Cambria Math"/>
                  <w:i/>
                </w:rPr>
              </m:ctrlPr>
            </m:dPr>
            <m:e>
              <m:r>
                <w:rPr>
                  <w:rFonts w:ascii="Cambria Math" w:hAnsi="Cambria Math"/>
                </w:rPr>
                <m:t>BL</m:t>
              </m:r>
            </m:e>
          </m:d>
          <m:sSub>
            <m:sSubPr>
              <m:ctrlPr>
                <w:rPr>
                  <w:rFonts w:ascii="Cambria Math" w:hAnsi="Cambria Math"/>
                  <w:i/>
                </w:rPr>
              </m:ctrlPr>
            </m:sSubPr>
            <m:e>
              <m:r>
                <w:rPr>
                  <w:rFonts w:ascii="Cambria Math" w:hAnsi="Cambria Math"/>
                </w:rPr>
                <m:t>f</m:t>
              </m:r>
            </m:e>
            <m:sub>
              <m:r>
                <w:rPr>
                  <w:rFonts w:ascii="Cambria Math" w:hAnsi="Cambria Math"/>
                </w:rPr>
                <m:t>BL</m:t>
              </m:r>
            </m:sub>
          </m:sSub>
          <m:r>
            <w:rPr>
              <w:rFonts w:ascii="Cambria Math" w:eastAsiaTheme="minorEastAsia" w:hAnsi="Cambria Math"/>
            </w:rPr>
            <m:t>=s</m:t>
          </m:r>
        </m:oMath>
      </m:oMathPara>
    </w:p>
    <w:p w:rsidR="004C4D45" w:rsidRPr="00B42D2F" w:rsidRDefault="00185801" w:rsidP="008C1B47">
      <w:pPr>
        <w:spacing w:line="480" w:lineRule="auto"/>
        <w:rPr>
          <w:rFonts w:eastAsiaTheme="minorEastAsia"/>
        </w:rPr>
      </w:pPr>
      <m:oMathPara>
        <m:oMath>
          <m:r>
            <w:rPr>
              <w:rFonts w:ascii="Cambria Math" w:hAnsi="Cambria Math"/>
            </w:rPr>
            <m:t>CF=s</m:t>
          </m:r>
        </m:oMath>
      </m:oMathPara>
    </w:p>
    <w:p w:rsidR="00185801" w:rsidRDefault="004C4D45" w:rsidP="008C1B47">
      <w:pPr>
        <w:spacing w:line="480" w:lineRule="auto"/>
      </w:pPr>
      <w:r>
        <w:rPr>
          <w:noProof/>
        </w:rPr>
        <w:drawing>
          <wp:inline distT="0" distB="0" distL="0" distR="0" wp14:anchorId="17A5A1B2" wp14:editId="4838D965">
            <wp:extent cx="2880290" cy="2441448"/>
            <wp:effectExtent l="0" t="0" r="0" b="0"/>
            <wp:docPr id="4" name="Picture 4" descr="Z:\Robb\My publications\GAC divalents\Images\SIexapmle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obb\My publications\GAC divalents\Images\SIexapmlecon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290" cy="2441448"/>
                    </a:xfrm>
                    <a:prstGeom prst="rect">
                      <a:avLst/>
                    </a:prstGeom>
                    <a:noFill/>
                    <a:ln>
                      <a:noFill/>
                    </a:ln>
                  </pic:spPr>
                </pic:pic>
              </a:graphicData>
            </a:graphic>
          </wp:inline>
        </w:drawing>
      </w:r>
      <w:r>
        <w:rPr>
          <w:noProof/>
        </w:rPr>
        <w:drawing>
          <wp:inline distT="0" distB="0" distL="0" distR="0" wp14:anchorId="47F8C637" wp14:editId="2DD9139C">
            <wp:extent cx="2880724" cy="2441448"/>
            <wp:effectExtent l="0" t="0" r="0" b="0"/>
            <wp:docPr id="5" name="Picture 5" descr="Z:\Robb\My publications\GAC divalents\Images\SIexapmlesig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obb\My publications\GAC divalents\Images\SIexapmlesigna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724" cy="2441448"/>
                    </a:xfrm>
                    <a:prstGeom prst="rect">
                      <a:avLst/>
                    </a:prstGeom>
                    <a:noFill/>
                    <a:ln>
                      <a:noFill/>
                    </a:ln>
                  </pic:spPr>
                </pic:pic>
              </a:graphicData>
            </a:graphic>
          </wp:inline>
        </w:drawing>
      </w:r>
    </w:p>
    <w:p w:rsidR="00185801" w:rsidRDefault="00211D21" w:rsidP="008C1B47">
      <w:pPr>
        <w:spacing w:line="480" w:lineRule="auto"/>
      </w:pPr>
      <w:r>
        <w:t>Figure S5</w:t>
      </w:r>
      <w:r w:rsidR="00322115">
        <w:t>. An example of a three-component signal decomposed into contributions from each species (left) and (right) w</w:t>
      </w:r>
      <w:r>
        <w:t>hat would be actually measured, following P5 formalism.</w:t>
      </w:r>
    </w:p>
    <w:p w:rsidR="00FF39A1" w:rsidRPr="00DF2FFD" w:rsidRDefault="00FF39A1" w:rsidP="000D5B36">
      <w:pPr>
        <w:spacing w:line="480" w:lineRule="auto"/>
        <w:outlineLvl w:val="0"/>
        <w:rPr>
          <w:b/>
        </w:rPr>
      </w:pPr>
      <w:r w:rsidRPr="00DF2FFD">
        <w:rPr>
          <w:b/>
        </w:rPr>
        <w:t xml:space="preserve">Modeling </w:t>
      </w:r>
      <w:r w:rsidR="00DF2FFD" w:rsidRPr="00DF2FFD">
        <w:rPr>
          <w:b/>
        </w:rPr>
        <w:t>kinetic mechanisms</w:t>
      </w:r>
    </w:p>
    <w:p w:rsidR="00DF2FFD" w:rsidRDefault="00DF2FFD" w:rsidP="008C1B47">
      <w:pPr>
        <w:spacing w:line="480" w:lineRule="auto"/>
      </w:pPr>
      <w:r>
        <w:t>Traditionally</w:t>
      </w:r>
      <w:r w:rsidR="00836054">
        <w:t>,</w:t>
      </w:r>
      <w:r>
        <w:t xml:space="preserve"> reports of </w:t>
      </w:r>
      <w:r w:rsidR="00836054">
        <w:t xml:space="preserve">the </w:t>
      </w:r>
      <w:r>
        <w:t xml:space="preserve">kinetics of non-trivial </w:t>
      </w:r>
      <w:r w:rsidR="00950DEE">
        <w:t>systems</w:t>
      </w:r>
      <w:r>
        <w:t xml:space="preserve"> focuses on determining observed rates, as opposed to rate constants.  The observed rates are, often complex, convolutions of the rate constants </w:t>
      </w:r>
      <w:r w:rsidR="001B29DE">
        <w:rPr>
          <w:color w:val="FF0000"/>
        </w:rPr>
        <w:t xml:space="preserve">(please see table in </w:t>
      </w:r>
      <w:r w:rsidR="001B29DE">
        <w:rPr>
          <w:color w:val="FF0000"/>
        </w:rPr>
        <w:fldChar w:fldCharType="begin" w:fldLock="1"/>
      </w:r>
      <w:r w:rsidR="001B29DE">
        <w:rPr>
          <w:color w:val="FF0000"/>
        </w:rPr>
        <w:instrText>ADDIN CSL_CITATION {"citationItems":[{"id":"ITEM-1","itemData":{"DOI":"10.1021/bi3006913","ISSN":"1520-4995","PMID":"22775458","abstract":"For almost five decades, two competing mechanisms of ligand recognition, conformational selection and induced fit, have dominated our interpretation of ligand binding in biological macromolecules. When binding-dissociation events are fast compared to conformational transitions, the rate of approach to equilibrium, k(obs), becomes diagnostic of conformational selection or induced fit based on whether it decreases or increases, respectively, with the ligand concentration, [L]. However, this simple conclusion based on the rapid equilibrium approximation is not valid in general. Here we show that conformational selection is associated with a rich repertoire of kinetic properties, with k(obs) decreasing or increasing with [L] depending on the relative magnitude of the rate of ligand dissociation, k(off), and the rate of conformational isomerization, k(r). We prove that, even for the simplest two-step mechanism of ligand binding, a decrease in k(obs) with [L] is unequivocal evidence of conformational selection, but an increase in k(obs) with [L] is not unequivocal evidence of induced fit. Ligand binding to glucokinase, thrombin, and its precursor prethrombin-2 are used as relevant examples. We conclude that conformational selection as a mechanism for a ligand binding to its target may be far more common than currently believed.","author":[{"dropping-particle":"","family":"Vogt","given":"Austin D","non-dropping-particle":"","parse-names":false,"suffix":""},{"dropping-particle":"","family":"Cera","given":"Enrico","non-dropping-particle":"Di","parse-names":false,"suffix":""}],"container-title":"Biochemistry","id":"ITEM-1","issue":"30","issued":{"date-parts":[["2012","7"]]},"page":"5894-902","publisher":"American Chemical Society","title":"Conformational selection or induced fit? A critical appraisal of the kinetic mechanism.","type":"article-journal","volume":"51"},"uris":["http://www.mendeley.com/documents/?uuid=8a52c375-d2c2-4a53-86cf-39678b7c6510"]}],"mendeley":{"formattedCitation":"&lt;sup&gt;10&lt;/sup&gt;","plainTextFormattedCitation":"10","previouslyFormattedCitation":"&lt;sup&gt;10&lt;/sup&gt;"},"properties":{"noteIndex":0},"schema":"https://github.com/citation-style-language/schema/raw/master/csl-citation.json"}</w:instrText>
      </w:r>
      <w:r w:rsidR="001B29DE">
        <w:rPr>
          <w:color w:val="FF0000"/>
        </w:rPr>
        <w:fldChar w:fldCharType="separate"/>
      </w:r>
      <w:r w:rsidR="001B29DE" w:rsidRPr="001B29DE">
        <w:rPr>
          <w:noProof/>
          <w:color w:val="FF0000"/>
          <w:vertAlign w:val="superscript"/>
        </w:rPr>
        <w:t>10</w:t>
      </w:r>
      <w:r w:rsidR="001B29DE">
        <w:rPr>
          <w:color w:val="FF0000"/>
        </w:rPr>
        <w:fldChar w:fldCharType="end"/>
      </w:r>
      <w:r>
        <w:t xml:space="preserve">) that can be calculated from </w:t>
      </w:r>
      <w:r w:rsidR="00950DEE">
        <w:t>spectroscopically</w:t>
      </w:r>
      <w:r>
        <w:t xml:space="preserve"> measured kinetics data (see the section on data fitting).  The rate constants for mechanisms with multiple (greater than 2) states cannot generally by obtained from fitting raw data, and can only be estimated by more advanced modeling.</w:t>
      </w:r>
    </w:p>
    <w:p w:rsidR="00BF48B8" w:rsidRDefault="00BF48B8" w:rsidP="008C1B47">
      <w:pPr>
        <w:spacing w:line="480" w:lineRule="auto"/>
      </w:pPr>
      <w:r>
        <w:t xml:space="preserve">There are 3 major challenges </w:t>
      </w:r>
      <w:r w:rsidR="006344C1">
        <w:t>estimating</w:t>
      </w:r>
      <w:r>
        <w:t xml:space="preserve"> rate constants:</w:t>
      </w:r>
    </w:p>
    <w:p w:rsidR="00BF48B8" w:rsidRDefault="00BF48B8" w:rsidP="008C1B47">
      <w:pPr>
        <w:pStyle w:val="ListParagraph"/>
        <w:numPr>
          <w:ilvl w:val="0"/>
          <w:numId w:val="1"/>
        </w:numPr>
        <w:spacing w:line="480" w:lineRule="auto"/>
      </w:pPr>
      <w:r>
        <w:lastRenderedPageBreak/>
        <w:t xml:space="preserve">Comprehensively searching through the huge </w:t>
      </w:r>
      <w:r w:rsidR="00836054">
        <w:t xml:space="preserve">combinatory </w:t>
      </w:r>
      <w:r>
        <w:t>space of rate combinations.</w:t>
      </w:r>
    </w:p>
    <w:p w:rsidR="00BF48B8" w:rsidRDefault="00BF48B8" w:rsidP="008C1B47">
      <w:pPr>
        <w:pStyle w:val="ListParagraph"/>
        <w:numPr>
          <w:ilvl w:val="0"/>
          <w:numId w:val="1"/>
        </w:numPr>
        <w:spacing w:line="480" w:lineRule="auto"/>
      </w:pPr>
      <w:r>
        <w:t>Finding a unique solution</w:t>
      </w:r>
      <w:r w:rsidR="008B7BC0">
        <w:t xml:space="preserve"> in an underdetermined problem</w:t>
      </w:r>
      <w:r>
        <w:t>.</w:t>
      </w:r>
    </w:p>
    <w:p w:rsidR="00BF48B8" w:rsidRDefault="00BF48B8" w:rsidP="008C1B47">
      <w:pPr>
        <w:pStyle w:val="ListParagraph"/>
        <w:numPr>
          <w:ilvl w:val="0"/>
          <w:numId w:val="1"/>
        </w:numPr>
        <w:spacing w:line="480" w:lineRule="auto"/>
      </w:pPr>
      <w:r>
        <w:t>Meaningfully comparing models.</w:t>
      </w:r>
    </w:p>
    <w:p w:rsidR="008B7BC0" w:rsidRDefault="008B7BC0" w:rsidP="008C1B47">
      <w:pPr>
        <w:spacing w:line="480" w:lineRule="auto"/>
      </w:pPr>
      <w:r>
        <w:t>We have met these challenges by:</w:t>
      </w:r>
    </w:p>
    <w:p w:rsidR="008B7BC0" w:rsidRDefault="008B7BC0" w:rsidP="008C1B47">
      <w:pPr>
        <w:pStyle w:val="ListParagraph"/>
        <w:numPr>
          <w:ilvl w:val="0"/>
          <w:numId w:val="2"/>
        </w:numPr>
        <w:spacing w:line="480" w:lineRule="auto"/>
      </w:pPr>
      <w:r>
        <w:t>Using</w:t>
      </w:r>
      <w:r w:rsidR="005D0745">
        <w:t xml:space="preserve"> novel</w:t>
      </w:r>
      <w:r>
        <w:t xml:space="preserve"> computationally intensive search methodologies.</w:t>
      </w:r>
    </w:p>
    <w:p w:rsidR="008B7BC0" w:rsidRDefault="008B7BC0" w:rsidP="008C1B47">
      <w:pPr>
        <w:pStyle w:val="ListParagraph"/>
        <w:numPr>
          <w:ilvl w:val="0"/>
          <w:numId w:val="2"/>
        </w:numPr>
        <w:spacing w:line="480" w:lineRule="auto"/>
      </w:pPr>
      <w:r>
        <w:t>Constraining possible solutions by using multiple labeled constructs that report on the same events.</w:t>
      </w:r>
    </w:p>
    <w:p w:rsidR="000B7BEE" w:rsidRDefault="008B7BC0" w:rsidP="008C1B47">
      <w:pPr>
        <w:pStyle w:val="ListParagraph"/>
        <w:numPr>
          <w:ilvl w:val="0"/>
          <w:numId w:val="2"/>
        </w:numPr>
        <w:spacing w:line="480" w:lineRule="auto"/>
      </w:pPr>
      <w:r>
        <w:t>By only reporting on the simplest model that can explain the data.</w:t>
      </w:r>
    </w:p>
    <w:p w:rsidR="000B7BEE" w:rsidRDefault="000E426E" w:rsidP="000D5B36">
      <w:pPr>
        <w:spacing w:line="480" w:lineRule="auto"/>
        <w:outlineLvl w:val="0"/>
      </w:pPr>
      <w:r>
        <w:rPr>
          <w:b/>
        </w:rPr>
        <w:t>Modeling</w:t>
      </w:r>
      <w:r w:rsidR="000B7BEE" w:rsidRPr="00B56E8C">
        <w:rPr>
          <w:b/>
        </w:rPr>
        <w:t xml:space="preserve"> algorithms:</w:t>
      </w:r>
      <w:r w:rsidR="000B7BEE">
        <w:rPr>
          <w:b/>
        </w:rPr>
        <w:t xml:space="preserve"> </w:t>
      </w:r>
      <w:r w:rsidR="00416C4C">
        <w:rPr>
          <w:b/>
        </w:rPr>
        <w:t>Comparing rates</w:t>
      </w:r>
    </w:p>
    <w:p w:rsidR="00CF7C7D" w:rsidRDefault="00CF7C7D" w:rsidP="008C1B47">
      <w:pPr>
        <w:spacing w:line="480" w:lineRule="auto"/>
      </w:pPr>
      <w:r>
        <w:t>The first part of the analysis pipeline is to get a rough estimate of the rate constants in a computationally efficient manner.  We begin by choosing a mechanism we want to test (</w:t>
      </w:r>
      <w:r w:rsidR="000E426E">
        <w:t>M</w:t>
      </w:r>
      <w:r w:rsidR="006923C9">
        <w:t>A</w:t>
      </w:r>
      <w:r>
        <w:t xml:space="preserve"> 1)</w:t>
      </w:r>
    </w:p>
    <w:p w:rsidR="00CF7C7D" w:rsidRDefault="00CF7C7D" w:rsidP="008C1B47">
      <w:pPr>
        <w:spacing w:line="480" w:lineRule="auto"/>
      </w:pPr>
      <w:r>
        <w:t>(</w:t>
      </w:r>
      <w:r w:rsidR="000E426E">
        <w:t>M</w:t>
      </w:r>
      <w:r w:rsidR="006923C9">
        <w:t>A</w:t>
      </w:r>
      <w:r>
        <w:t>1)</w:t>
      </w:r>
    </w:p>
    <w:p w:rsidR="00AD5F83" w:rsidRDefault="00D26904" w:rsidP="008C1B47">
      <w:pPr>
        <w:spacing w:line="480" w:lineRule="auto"/>
      </w:pPr>
      <m:oMathPara>
        <m:oMath>
          <m:sSup>
            <m:sSupPr>
              <m:ctrlPr>
                <w:rPr>
                  <w:rFonts w:ascii="Cambria Math" w:hAnsi="Cambria Math"/>
                  <w:i/>
                </w:rPr>
              </m:ctrlPr>
            </m:sSupPr>
            <m:e>
              <m:r>
                <w:rPr>
                  <w:rFonts w:ascii="Cambria Math" w:hAnsi="Cambria Math"/>
                </w:rPr>
                <m:t>2</m:t>
              </m:r>
            </m:e>
            <m:sup>
              <m:r>
                <w:rPr>
                  <w:rFonts w:ascii="Cambria Math" w:hAnsi="Cambria Math"/>
                </w:rPr>
                <m:t>°</m:t>
              </m:r>
            </m:sup>
          </m:sSup>
          <m:r>
            <w:rPr>
              <w:rFonts w:ascii="Cambria Math" w:hAnsi="Cambria Math"/>
            </w:rPr>
            <m:t xml:space="preserve">+ion </m:t>
          </m:r>
          <m:sPre>
            <m:sPrePr>
              <m:ctrlPr>
                <w:rPr>
                  <w:rFonts w:ascii="Cambria Math" w:hAnsi="Cambria Math"/>
                  <w:i/>
                </w:rPr>
              </m:ctrlPr>
            </m:sPrePr>
            <m:sub>
              <m:groupChr>
                <m:groupChrPr>
                  <m:chr m:val="←"/>
                  <m:pos m:val="top"/>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1r</m:t>
                      </m:r>
                    </m:sub>
                  </m:sSub>
                </m:e>
              </m:groupChr>
            </m:sub>
            <m:sup>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1f</m:t>
                      </m:r>
                    </m:sub>
                  </m:sSub>
                </m:e>
              </m:groupChr>
            </m:sup>
            <m:e>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1</m:t>
                  </m:r>
                </m:sub>
              </m:sSub>
            </m:e>
          </m:sPre>
          <m:r>
            <w:rPr>
              <w:rFonts w:ascii="Cambria Math" w:hAnsi="Cambria Math"/>
            </w:rPr>
            <m:t xml:space="preserve"> </m:t>
          </m:r>
          <m:sPre>
            <m:sPrePr>
              <m:ctrlPr>
                <w:rPr>
                  <w:rFonts w:ascii="Cambria Math" w:hAnsi="Cambria Math"/>
                  <w:i/>
                </w:rPr>
              </m:ctrlPr>
            </m:sPrePr>
            <m:sub>
              <m:groupChr>
                <m:groupChrPr>
                  <m:chr m:val="←"/>
                  <m:pos m:val="top"/>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2r</m:t>
                      </m:r>
                    </m:sub>
                  </m:sSub>
                </m:e>
              </m:groupChr>
            </m:sub>
            <m:sup>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2f</m:t>
                      </m:r>
                    </m:sub>
                  </m:sSub>
                </m:e>
              </m:groupChr>
            </m:sup>
            <m:e>
              <m:sSub>
                <m:sSubPr>
                  <m:ctrlPr>
                    <w:rPr>
                      <w:rFonts w:ascii="Cambria Math" w:hAnsi="Cambria Math"/>
                      <w:i/>
                    </w:rPr>
                  </m:ctrlPr>
                </m:sSubPr>
                <m:e>
                  <m:r>
                    <w:rPr>
                      <w:rFonts w:ascii="Cambria Math" w:hAnsi="Cambria Math"/>
                    </w:rPr>
                    <m:t xml:space="preserve"> I</m:t>
                  </m:r>
                </m:e>
                <m:sub>
                  <m:r>
                    <w:rPr>
                      <w:rFonts w:ascii="Cambria Math" w:hAnsi="Cambria Math"/>
                    </w:rPr>
                    <m:t>2</m:t>
                  </m:r>
                </m:sub>
              </m:sSub>
            </m:e>
          </m:sPre>
          <m:r>
            <w:rPr>
              <w:rFonts w:ascii="Cambria Math" w:hAnsi="Cambria Math"/>
            </w:rPr>
            <m:t xml:space="preserve">+ion </m:t>
          </m:r>
          <m:sPre>
            <m:sPrePr>
              <m:ctrlPr>
                <w:rPr>
                  <w:rFonts w:ascii="Cambria Math" w:hAnsi="Cambria Math"/>
                  <w:i/>
                </w:rPr>
              </m:ctrlPr>
            </m:sPrePr>
            <m:sub>
              <m:groupChr>
                <m:groupChrPr>
                  <m:chr m:val="←"/>
                  <m:pos m:val="top"/>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3r</m:t>
                      </m:r>
                    </m:sub>
                  </m:sSub>
                </m:e>
              </m:groupChr>
            </m:sub>
            <m:sup>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3f</m:t>
                      </m:r>
                    </m:sub>
                  </m:sSub>
                </m:e>
              </m:groupChr>
            </m:sup>
            <m:e>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3</m:t>
                  </m:r>
                </m:sub>
              </m:sSub>
            </m:e>
          </m:sPre>
          <m:r>
            <w:rPr>
              <w:rFonts w:ascii="Cambria Math" w:hAnsi="Cambria Math"/>
            </w:rPr>
            <m:t xml:space="preserve"> </m:t>
          </m:r>
          <m:sPre>
            <m:sPrePr>
              <m:ctrlPr>
                <w:rPr>
                  <w:rFonts w:ascii="Cambria Math" w:hAnsi="Cambria Math"/>
                  <w:i/>
                </w:rPr>
              </m:ctrlPr>
            </m:sPrePr>
            <m:sub>
              <m:groupChr>
                <m:groupChrPr>
                  <m:chr m:val="←"/>
                  <m:pos m:val="top"/>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4r</m:t>
                      </m:r>
                    </m:sub>
                  </m:sSub>
                </m:e>
              </m:groupChr>
            </m:sub>
            <m:sup>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4f</m:t>
                      </m:r>
                    </m:sub>
                  </m:sSub>
                </m:e>
              </m:groupChr>
            </m:sup>
            <m:e>
              <m:sSub>
                <m:sSubPr>
                  <m:ctrlPr>
                    <w:rPr>
                      <w:rFonts w:ascii="Cambria Math" w:hAnsi="Cambria Math"/>
                      <w:i/>
                    </w:rPr>
                  </m:ctrlPr>
                </m:sSubPr>
                <m:e>
                  <m:r>
                    <w:rPr>
                      <w:rFonts w:ascii="Cambria Math" w:hAnsi="Cambria Math"/>
                    </w:rPr>
                    <m:t xml:space="preserve"> I</m:t>
                  </m:r>
                </m:e>
                <m:sub>
                  <m:r>
                    <w:rPr>
                      <w:rFonts w:ascii="Cambria Math" w:hAnsi="Cambria Math"/>
                    </w:rPr>
                    <m:t>4</m:t>
                  </m:r>
                </m:sub>
              </m:sSub>
            </m:e>
          </m:sPre>
          <m:r>
            <w:rPr>
              <w:rFonts w:ascii="Cambria Math" w:hAnsi="Cambria Math"/>
            </w:rPr>
            <m:t xml:space="preserve"> </m:t>
          </m:r>
          <m:sPre>
            <m:sPrePr>
              <m:ctrlPr>
                <w:rPr>
                  <w:rFonts w:ascii="Cambria Math" w:hAnsi="Cambria Math"/>
                  <w:i/>
                </w:rPr>
              </m:ctrlPr>
            </m:sPrePr>
            <m:sub>
              <m:groupChr>
                <m:groupChrPr>
                  <m:chr m:val="←"/>
                  <m:pos m:val="top"/>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5r</m:t>
                      </m:r>
                    </m:sub>
                  </m:sSub>
                </m:e>
              </m:groupChr>
            </m:sub>
            <m:sup>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5f</m:t>
                      </m:r>
                    </m:sub>
                  </m:sSub>
                </m:e>
              </m:groupChr>
            </m:sup>
            <m:e>
              <m:r>
                <w:rPr>
                  <w:rFonts w:ascii="Cambria Math" w:hAnsi="Cambria Math"/>
                </w:rPr>
                <m:t xml:space="preserve"> </m:t>
              </m:r>
              <m:sSup>
                <m:sSupPr>
                  <m:ctrlPr>
                    <w:rPr>
                      <w:rFonts w:ascii="Cambria Math" w:hAnsi="Cambria Math"/>
                      <w:i/>
                    </w:rPr>
                  </m:ctrlPr>
                </m:sSupPr>
                <m:e>
                  <m:r>
                    <w:rPr>
                      <w:rFonts w:ascii="Cambria Math" w:hAnsi="Cambria Math"/>
                    </w:rPr>
                    <m:t>3</m:t>
                  </m:r>
                </m:e>
                <m:sup>
                  <m:r>
                    <w:rPr>
                      <w:rFonts w:ascii="Cambria Math" w:hAnsi="Cambria Math"/>
                    </w:rPr>
                    <m:t>°</m:t>
                  </m:r>
                </m:sup>
              </m:sSup>
            </m:e>
          </m:sPre>
          <m:r>
            <w:rPr>
              <w:rFonts w:ascii="Cambria Math" w:hAnsi="Cambria Math"/>
            </w:rPr>
            <m:t xml:space="preserve"> </m:t>
          </m:r>
        </m:oMath>
      </m:oMathPara>
    </w:p>
    <w:p w:rsidR="00CF7C7D" w:rsidRDefault="00CF7C7D" w:rsidP="008C1B47">
      <w:pPr>
        <w:spacing w:line="480" w:lineRule="auto"/>
      </w:pPr>
      <w:r>
        <w:t xml:space="preserve">The mechanism shown in </w:t>
      </w:r>
      <w:r w:rsidR="000E426E">
        <w:t>M</w:t>
      </w:r>
      <w:r w:rsidR="006923C9">
        <w:t>A</w:t>
      </w:r>
      <w:r>
        <w:t xml:space="preserve"> 1 was selected </w:t>
      </w:r>
      <w:r w:rsidR="000E426E">
        <w:t>(</w:t>
      </w:r>
      <w:r>
        <w:t>for multiple reasons which have been previously published (REF</w:t>
      </w:r>
      <w:r w:rsidR="000E426E">
        <w:t>)</w:t>
      </w:r>
      <w:r>
        <w:t>).  From the mechanism we can derive the model for rate matrix (</w:t>
      </w:r>
      <w:r w:rsidR="000E426E">
        <w:t>M</w:t>
      </w:r>
      <w:r w:rsidR="006923C9">
        <w:t>A</w:t>
      </w:r>
      <w:r>
        <w:t>2).</w:t>
      </w:r>
    </w:p>
    <w:p w:rsidR="00CF7C7D" w:rsidRDefault="00CF7C7D" w:rsidP="008C1B47">
      <w:pPr>
        <w:spacing w:line="480" w:lineRule="auto"/>
      </w:pPr>
      <w:r>
        <w:t>(</w:t>
      </w:r>
      <w:r w:rsidR="00625126">
        <w:t>M</w:t>
      </w:r>
      <w:r w:rsidR="006923C9">
        <w:t>A</w:t>
      </w:r>
      <w:r>
        <w:t>2)</w:t>
      </w:r>
    </w:p>
    <w:p w:rsidR="00D41044" w:rsidRDefault="00CB4CCC" w:rsidP="008C1B47">
      <w:pPr>
        <w:spacing w:line="480" w:lineRule="auto"/>
      </w:pPr>
      <m:oMathPara>
        <m:oMath>
          <m:r>
            <w:rPr>
              <w:rFonts w:ascii="Cambria Math" w:hAnsi="Cambria Math"/>
            </w:rPr>
            <m:t>M=</m:t>
          </m:r>
          <m:d>
            <m:dPr>
              <m:begChr m:val="["/>
              <m:endChr m:val="]"/>
              <m:ctrlPr>
                <w:rPr>
                  <w:rFonts w:ascii="Cambria Math" w:hAnsi="Cambria Math"/>
                  <w:bCs/>
                  <w:i/>
                  <w:iCs/>
                </w:rPr>
              </m:ctrlPr>
            </m:dPr>
            <m:e>
              <m:m>
                <m:mPr>
                  <m:mcs>
                    <m:mc>
                      <m:mcPr>
                        <m:count m:val="6"/>
                        <m:mcJc m:val="center"/>
                      </m:mcPr>
                    </m:mc>
                  </m:mcs>
                  <m:ctrlPr>
                    <w:rPr>
                      <w:rFonts w:ascii="Cambria Math" w:hAnsi="Cambria Math"/>
                      <w:bCs/>
                      <w:i/>
                      <w:iCs/>
                    </w:rPr>
                  </m:ctrlPr>
                </m:mPr>
                <m:mr>
                  <m:e>
                    <m:r>
                      <m:rPr>
                        <m:sty m:val="p"/>
                      </m:rPr>
                      <w:rPr>
                        <w:rFonts w:ascii="Cambria Math" w:hAnsi="Cambria Math"/>
                      </w:rPr>
                      <m:t>-</m:t>
                    </m:r>
                    <m:sSub>
                      <m:sSubPr>
                        <m:ctrlPr>
                          <w:rPr>
                            <w:rFonts w:ascii="Cambria Math" w:hAnsi="Cambria Math"/>
                            <w:bCs/>
                            <w:i/>
                            <w:iCs/>
                          </w:rPr>
                        </m:ctrlPr>
                      </m:sSubPr>
                      <m:e>
                        <m:r>
                          <w:rPr>
                            <w:rFonts w:ascii="Cambria Math" w:hAnsi="Cambria Math"/>
                          </w:rPr>
                          <m:t>k</m:t>
                        </m:r>
                      </m:e>
                      <m:sub>
                        <m:r>
                          <w:rPr>
                            <w:rFonts w:ascii="Cambria Math" w:hAnsi="Cambria Math"/>
                          </w:rPr>
                          <m:t>1</m:t>
                        </m:r>
                      </m:sub>
                    </m:sSub>
                    <m:r>
                      <m:rPr>
                        <m:sty m:val="p"/>
                      </m:rPr>
                      <w:rPr>
                        <w:rFonts w:ascii="Cambria Math" w:hAnsi="Cambria Math"/>
                      </w:rPr>
                      <m:t>*</m:t>
                    </m:r>
                    <m:d>
                      <m:dPr>
                        <m:begChr m:val="["/>
                        <m:endChr m:val="]"/>
                        <m:ctrlPr>
                          <w:rPr>
                            <w:rFonts w:ascii="Cambria Math" w:hAnsi="Cambria Math"/>
                            <w:bCs/>
                            <w:i/>
                            <w:iCs/>
                          </w:rPr>
                        </m:ctrlPr>
                      </m:dPr>
                      <m:e>
                        <m:r>
                          <m:rPr>
                            <m:sty m:val="p"/>
                          </m:rPr>
                          <w:rPr>
                            <w:rFonts w:ascii="Cambria Math" w:hAnsi="Cambria Math"/>
                          </w:rPr>
                          <m:t>ion</m:t>
                        </m:r>
                      </m:e>
                    </m:d>
                  </m:e>
                  <m:e>
                    <m:sSub>
                      <m:sSubPr>
                        <m:ctrlPr>
                          <w:rPr>
                            <w:rFonts w:ascii="Cambria Math" w:hAnsi="Cambria Math"/>
                            <w:bCs/>
                            <w:i/>
                            <w:iCs/>
                          </w:rPr>
                        </m:ctrlPr>
                      </m:sSubPr>
                      <m:e>
                        <m:r>
                          <w:rPr>
                            <w:rFonts w:ascii="Cambria Math" w:hAnsi="Cambria Math"/>
                          </w:rPr>
                          <m:t>k</m:t>
                        </m:r>
                      </m:e>
                      <m:sub>
                        <m:r>
                          <w:rPr>
                            <w:rFonts w:ascii="Cambria Math" w:hAnsi="Cambria Math"/>
                          </w:rPr>
                          <m:t>-1</m:t>
                        </m:r>
                      </m:sub>
                    </m:sSub>
                  </m:e>
                  <m:e>
                    <m:r>
                      <m:rPr>
                        <m:sty m:val="p"/>
                      </m:rPr>
                      <w:rPr>
                        <w:rFonts w:ascii="Cambria Math" w:hAnsi="Cambria Math"/>
                      </w:rPr>
                      <m:t>0</m:t>
                    </m:r>
                  </m:e>
                  <m:e>
                    <m:r>
                      <m:rPr>
                        <m:sty m:val="p"/>
                      </m:rPr>
                      <w:rPr>
                        <w:rFonts w:ascii="Cambria Math" w:hAnsi="Cambria Math"/>
                      </w:rPr>
                      <m:t>0</m:t>
                    </m:r>
                  </m:e>
                  <m:e>
                    <m:r>
                      <m:rPr>
                        <m:sty m:val="p"/>
                      </m:rPr>
                      <w:rPr>
                        <w:rFonts w:ascii="Cambria Math" w:hAnsi="Cambria Math"/>
                      </w:rPr>
                      <m:t>0</m:t>
                    </m:r>
                  </m:e>
                  <m:e>
                    <m:r>
                      <w:rPr>
                        <w:rFonts w:ascii="Cambria Math" w:hAnsi="Cambria Math"/>
                      </w:rPr>
                      <m:t>0</m:t>
                    </m:r>
                  </m:e>
                </m:mr>
                <m:mr>
                  <m:e>
                    <m:sSub>
                      <m:sSubPr>
                        <m:ctrlPr>
                          <w:rPr>
                            <w:rFonts w:ascii="Cambria Math" w:hAnsi="Cambria Math"/>
                            <w:bCs/>
                            <w:i/>
                            <w:iCs/>
                          </w:rPr>
                        </m:ctrlPr>
                      </m:sSubPr>
                      <m:e>
                        <m:r>
                          <w:rPr>
                            <w:rFonts w:ascii="Cambria Math" w:hAnsi="Cambria Math"/>
                          </w:rPr>
                          <m:t>k</m:t>
                        </m:r>
                      </m:e>
                      <m:sub>
                        <m:r>
                          <w:rPr>
                            <w:rFonts w:ascii="Cambria Math" w:hAnsi="Cambria Math"/>
                          </w:rPr>
                          <m:t>-1</m:t>
                        </m:r>
                      </m:sub>
                    </m:sSub>
                    <m:r>
                      <m:rPr>
                        <m:sty m:val="p"/>
                      </m:rPr>
                      <w:rPr>
                        <w:rFonts w:ascii="Cambria Math" w:hAnsi="Cambria Math"/>
                      </w:rPr>
                      <m:t>*</m:t>
                    </m:r>
                    <m:d>
                      <m:dPr>
                        <m:begChr m:val="["/>
                        <m:endChr m:val="]"/>
                        <m:ctrlPr>
                          <w:rPr>
                            <w:rFonts w:ascii="Cambria Math" w:hAnsi="Cambria Math"/>
                            <w:bCs/>
                            <w:i/>
                            <w:iCs/>
                          </w:rPr>
                        </m:ctrlPr>
                      </m:dPr>
                      <m:e>
                        <m:r>
                          <m:rPr>
                            <m:sty m:val="p"/>
                          </m:rPr>
                          <w:rPr>
                            <w:rFonts w:ascii="Cambria Math" w:hAnsi="Cambria Math"/>
                          </w:rPr>
                          <m:t>ion</m:t>
                        </m:r>
                      </m:e>
                    </m:d>
                  </m:e>
                  <m:e>
                    <m:r>
                      <m:rPr>
                        <m:sty m:val="p"/>
                      </m:rPr>
                      <w:rPr>
                        <w:rFonts w:ascii="Cambria Math" w:hAnsi="Cambria Math"/>
                      </w:rPr>
                      <m:t>-</m:t>
                    </m:r>
                    <m:d>
                      <m:dPr>
                        <m:ctrlPr>
                          <w:rPr>
                            <w:rFonts w:ascii="Cambria Math" w:hAnsi="Cambria Math"/>
                            <w:bCs/>
                            <w:i/>
                            <w:iCs/>
                          </w:rPr>
                        </m:ctrlPr>
                      </m:dPr>
                      <m:e>
                        <m:sSub>
                          <m:sSubPr>
                            <m:ctrlPr>
                              <w:rPr>
                                <w:rFonts w:ascii="Cambria Math" w:hAnsi="Cambria Math"/>
                                <w:bCs/>
                                <w:i/>
                                <w:iCs/>
                              </w:rPr>
                            </m:ctrlPr>
                          </m:sSubPr>
                          <m:e>
                            <m:r>
                              <w:rPr>
                                <w:rFonts w:ascii="Cambria Math" w:hAnsi="Cambria Math"/>
                              </w:rPr>
                              <m:t>k</m:t>
                            </m:r>
                          </m:e>
                          <m:sub>
                            <m:r>
                              <w:rPr>
                                <w:rFonts w:ascii="Cambria Math" w:hAnsi="Cambria Math"/>
                              </w:rPr>
                              <m:t>-1</m:t>
                            </m:r>
                          </m:sub>
                        </m:sSub>
                        <m:r>
                          <m:rPr>
                            <m:sty m:val="p"/>
                          </m:rPr>
                          <w:rPr>
                            <w:rFonts w:ascii="Cambria Math" w:hAnsi="Cambria Math"/>
                          </w:rPr>
                          <m:t>+</m:t>
                        </m:r>
                        <m:sSub>
                          <m:sSubPr>
                            <m:ctrlPr>
                              <w:rPr>
                                <w:rFonts w:ascii="Cambria Math" w:hAnsi="Cambria Math"/>
                                <w:bCs/>
                                <w:i/>
                                <w:iCs/>
                              </w:rPr>
                            </m:ctrlPr>
                          </m:sSubPr>
                          <m:e>
                            <m:r>
                              <w:rPr>
                                <w:rFonts w:ascii="Cambria Math" w:hAnsi="Cambria Math"/>
                              </w:rPr>
                              <m:t>k</m:t>
                            </m:r>
                          </m:e>
                          <m:sub>
                            <m:r>
                              <w:rPr>
                                <w:rFonts w:ascii="Cambria Math" w:hAnsi="Cambria Math"/>
                              </w:rPr>
                              <m:t>2</m:t>
                            </m:r>
                          </m:sub>
                        </m:sSub>
                      </m:e>
                    </m:d>
                  </m:e>
                  <m:e>
                    <m:sSub>
                      <m:sSubPr>
                        <m:ctrlPr>
                          <w:rPr>
                            <w:rFonts w:ascii="Cambria Math" w:hAnsi="Cambria Math"/>
                            <w:bCs/>
                            <w:i/>
                            <w:iCs/>
                          </w:rPr>
                        </m:ctrlPr>
                      </m:sSubPr>
                      <m:e>
                        <m:r>
                          <w:rPr>
                            <w:rFonts w:ascii="Cambria Math" w:hAnsi="Cambria Math"/>
                          </w:rPr>
                          <m:t>k</m:t>
                        </m:r>
                      </m:e>
                      <m:sub>
                        <m:r>
                          <w:rPr>
                            <w:rFonts w:ascii="Cambria Math" w:hAnsi="Cambria Math"/>
                          </w:rPr>
                          <m:t>-2</m:t>
                        </m:r>
                      </m:sub>
                    </m:sSub>
                  </m:e>
                  <m:e>
                    <m:r>
                      <m:rPr>
                        <m:sty m:val="p"/>
                      </m:rPr>
                      <w:rPr>
                        <w:rFonts w:ascii="Cambria Math" w:hAnsi="Cambria Math"/>
                      </w:rPr>
                      <m:t>0</m:t>
                    </m:r>
                  </m:e>
                  <m:e>
                    <m:r>
                      <m:rPr>
                        <m:sty m:val="p"/>
                      </m:rPr>
                      <w:rPr>
                        <w:rFonts w:ascii="Cambria Math" w:hAnsi="Cambria Math"/>
                      </w:rPr>
                      <m:t>0</m:t>
                    </m:r>
                  </m:e>
                  <m:e>
                    <m:r>
                      <w:rPr>
                        <w:rFonts w:ascii="Cambria Math" w:hAnsi="Cambria Math"/>
                      </w:rPr>
                      <m:t>0</m:t>
                    </m:r>
                  </m:e>
                </m:mr>
                <m:mr>
                  <m:e>
                    <m:r>
                      <m:rPr>
                        <m:sty m:val="p"/>
                      </m:rPr>
                      <w:rPr>
                        <w:rFonts w:ascii="Cambria Math" w:hAnsi="Cambria Math"/>
                      </w:rPr>
                      <m:t>0</m:t>
                    </m:r>
                  </m:e>
                  <m:e>
                    <m:sSub>
                      <m:sSubPr>
                        <m:ctrlPr>
                          <w:rPr>
                            <w:rFonts w:ascii="Cambria Math" w:hAnsi="Cambria Math"/>
                            <w:bCs/>
                            <w:i/>
                            <w:iCs/>
                          </w:rPr>
                        </m:ctrlPr>
                      </m:sSubPr>
                      <m:e>
                        <m:r>
                          <w:rPr>
                            <w:rFonts w:ascii="Cambria Math" w:hAnsi="Cambria Math"/>
                          </w:rPr>
                          <m:t>k</m:t>
                        </m:r>
                      </m:e>
                      <m:sub>
                        <m:r>
                          <w:rPr>
                            <w:rFonts w:ascii="Cambria Math" w:hAnsi="Cambria Math"/>
                          </w:rPr>
                          <m:t>2</m:t>
                        </m:r>
                      </m:sub>
                    </m:sSub>
                  </m:e>
                  <m:e>
                    <m:r>
                      <m:rPr>
                        <m:sty m:val="p"/>
                      </m:rPr>
                      <w:rPr>
                        <w:rFonts w:ascii="Cambria Math" w:hAnsi="Cambria Math"/>
                      </w:rPr>
                      <m:t>-</m:t>
                    </m:r>
                    <m:d>
                      <m:dPr>
                        <m:ctrlPr>
                          <w:rPr>
                            <w:rFonts w:ascii="Cambria Math" w:hAnsi="Cambria Math"/>
                            <w:bCs/>
                            <w:i/>
                            <w:iCs/>
                          </w:rPr>
                        </m:ctrlPr>
                      </m:dPr>
                      <m:e>
                        <m:sSub>
                          <m:sSubPr>
                            <m:ctrlPr>
                              <w:rPr>
                                <w:rFonts w:ascii="Cambria Math" w:hAnsi="Cambria Math"/>
                                <w:bCs/>
                                <w:i/>
                                <w:iCs/>
                              </w:rPr>
                            </m:ctrlPr>
                          </m:sSubPr>
                          <m:e>
                            <m:r>
                              <w:rPr>
                                <w:rFonts w:ascii="Cambria Math" w:hAnsi="Cambria Math"/>
                              </w:rPr>
                              <m:t>k</m:t>
                            </m:r>
                          </m:e>
                          <m:sub>
                            <m:r>
                              <w:rPr>
                                <w:rFonts w:ascii="Cambria Math" w:hAnsi="Cambria Math"/>
                              </w:rPr>
                              <m:t>-2</m:t>
                            </m:r>
                          </m:sub>
                        </m:sSub>
                        <m:r>
                          <m:rPr>
                            <m:sty m:val="p"/>
                          </m:rPr>
                          <w:rPr>
                            <w:rFonts w:ascii="Cambria Math" w:hAnsi="Cambria Math"/>
                          </w:rPr>
                          <m:t>+</m:t>
                        </m:r>
                        <m:d>
                          <m:dPr>
                            <m:begChr m:val="["/>
                            <m:endChr m:val="]"/>
                            <m:ctrlPr>
                              <w:rPr>
                                <w:rFonts w:ascii="Cambria Math" w:hAnsi="Cambria Math"/>
                                <w:bCs/>
                                <w:i/>
                                <w:iCs/>
                              </w:rPr>
                            </m:ctrlPr>
                          </m:dPr>
                          <m:e>
                            <m:r>
                              <m:rPr>
                                <m:sty m:val="p"/>
                              </m:rPr>
                              <w:rPr>
                                <w:rFonts w:ascii="Cambria Math" w:hAnsi="Cambria Math"/>
                              </w:rPr>
                              <m:t>ion</m:t>
                            </m:r>
                          </m:e>
                        </m:d>
                        <m:r>
                          <m:rPr>
                            <m:sty m:val="p"/>
                          </m:rPr>
                          <w:rPr>
                            <w:rFonts w:ascii="Cambria Math" w:hAnsi="Cambria Math"/>
                          </w:rPr>
                          <m:t>*</m:t>
                        </m:r>
                        <m:sSub>
                          <m:sSubPr>
                            <m:ctrlPr>
                              <w:rPr>
                                <w:rFonts w:ascii="Cambria Math" w:hAnsi="Cambria Math"/>
                                <w:bCs/>
                                <w:i/>
                                <w:iCs/>
                              </w:rPr>
                            </m:ctrlPr>
                          </m:sSubPr>
                          <m:e>
                            <m:r>
                              <w:rPr>
                                <w:rFonts w:ascii="Cambria Math" w:hAnsi="Cambria Math"/>
                              </w:rPr>
                              <m:t>k</m:t>
                            </m:r>
                          </m:e>
                          <m:sub>
                            <m:r>
                              <w:rPr>
                                <w:rFonts w:ascii="Cambria Math" w:hAnsi="Cambria Math"/>
                              </w:rPr>
                              <m:t>3</m:t>
                            </m:r>
                          </m:sub>
                        </m:sSub>
                      </m:e>
                    </m:d>
                  </m:e>
                  <m:e>
                    <m:sSub>
                      <m:sSubPr>
                        <m:ctrlPr>
                          <w:rPr>
                            <w:rFonts w:ascii="Cambria Math" w:hAnsi="Cambria Math"/>
                            <w:bCs/>
                            <w:i/>
                            <w:iCs/>
                          </w:rPr>
                        </m:ctrlPr>
                      </m:sSubPr>
                      <m:e>
                        <m:r>
                          <w:rPr>
                            <w:rFonts w:ascii="Cambria Math" w:hAnsi="Cambria Math"/>
                          </w:rPr>
                          <m:t>k</m:t>
                        </m:r>
                      </m:e>
                      <m:sub>
                        <m:r>
                          <w:rPr>
                            <w:rFonts w:ascii="Cambria Math" w:hAnsi="Cambria Math"/>
                          </w:rPr>
                          <m:t>-3</m:t>
                        </m:r>
                      </m:sub>
                    </m:sSub>
                  </m:e>
                  <m:e>
                    <m:r>
                      <m:rPr>
                        <m:sty m:val="p"/>
                      </m:rPr>
                      <w:rPr>
                        <w:rFonts w:ascii="Cambria Math" w:hAnsi="Cambria Math"/>
                      </w:rPr>
                      <m:t>0</m:t>
                    </m:r>
                  </m:e>
                  <m:e>
                    <m:r>
                      <w:rPr>
                        <w:rFonts w:ascii="Cambria Math" w:hAnsi="Cambria Math"/>
                      </w:rPr>
                      <m:t>0</m:t>
                    </m:r>
                  </m:e>
                </m:mr>
                <m:mr>
                  <m:e>
                    <m:r>
                      <m:rPr>
                        <m:sty m:val="p"/>
                      </m:rPr>
                      <w:rPr>
                        <w:rFonts w:ascii="Cambria Math" w:hAnsi="Cambria Math"/>
                      </w:rPr>
                      <m:t>0</m:t>
                    </m:r>
                  </m:e>
                  <m:e>
                    <m:r>
                      <m:rPr>
                        <m:sty m:val="p"/>
                      </m:rPr>
                      <w:rPr>
                        <w:rFonts w:ascii="Cambria Math" w:hAnsi="Cambria Math"/>
                      </w:rPr>
                      <m:t>0</m:t>
                    </m:r>
                  </m:e>
                  <m:e>
                    <m:d>
                      <m:dPr>
                        <m:begChr m:val="["/>
                        <m:endChr m:val="]"/>
                        <m:ctrlPr>
                          <w:rPr>
                            <w:rFonts w:ascii="Cambria Math" w:hAnsi="Cambria Math"/>
                            <w:bCs/>
                            <w:i/>
                            <w:iCs/>
                          </w:rPr>
                        </m:ctrlPr>
                      </m:dPr>
                      <m:e>
                        <m:r>
                          <m:rPr>
                            <m:sty m:val="p"/>
                          </m:rPr>
                          <w:rPr>
                            <w:rFonts w:ascii="Cambria Math" w:hAnsi="Cambria Math"/>
                          </w:rPr>
                          <m:t>ion</m:t>
                        </m:r>
                      </m:e>
                    </m:d>
                    <m:r>
                      <m:rPr>
                        <m:sty m:val="p"/>
                      </m:rPr>
                      <w:rPr>
                        <w:rFonts w:ascii="Cambria Math" w:hAnsi="Cambria Math"/>
                      </w:rPr>
                      <m:t>*</m:t>
                    </m:r>
                    <m:sSub>
                      <m:sSubPr>
                        <m:ctrlPr>
                          <w:rPr>
                            <w:rFonts w:ascii="Cambria Math" w:hAnsi="Cambria Math"/>
                            <w:bCs/>
                            <w:i/>
                            <w:iCs/>
                          </w:rPr>
                        </m:ctrlPr>
                      </m:sSubPr>
                      <m:e>
                        <m:r>
                          <w:rPr>
                            <w:rFonts w:ascii="Cambria Math" w:hAnsi="Cambria Math"/>
                          </w:rPr>
                          <m:t>k</m:t>
                        </m:r>
                      </m:e>
                      <m:sub>
                        <m:r>
                          <w:rPr>
                            <w:rFonts w:ascii="Cambria Math" w:hAnsi="Cambria Math"/>
                          </w:rPr>
                          <m:t>3</m:t>
                        </m:r>
                      </m:sub>
                    </m:sSub>
                  </m:e>
                  <m:e>
                    <m:r>
                      <m:rPr>
                        <m:sty m:val="p"/>
                      </m:rPr>
                      <w:rPr>
                        <w:rFonts w:ascii="Cambria Math" w:hAnsi="Cambria Math"/>
                      </w:rPr>
                      <m:t>-</m:t>
                    </m:r>
                    <m:d>
                      <m:dPr>
                        <m:ctrlPr>
                          <w:rPr>
                            <w:rFonts w:ascii="Cambria Math" w:hAnsi="Cambria Math"/>
                            <w:bCs/>
                            <w:i/>
                            <w:iCs/>
                          </w:rPr>
                        </m:ctrlPr>
                      </m:dPr>
                      <m:e>
                        <m:sSub>
                          <m:sSubPr>
                            <m:ctrlPr>
                              <w:rPr>
                                <w:rFonts w:ascii="Cambria Math" w:hAnsi="Cambria Math"/>
                                <w:bCs/>
                                <w:i/>
                                <w:iCs/>
                              </w:rPr>
                            </m:ctrlPr>
                          </m:sSubPr>
                          <m:e>
                            <m:r>
                              <w:rPr>
                                <w:rFonts w:ascii="Cambria Math" w:hAnsi="Cambria Math"/>
                              </w:rPr>
                              <m:t>k</m:t>
                            </m:r>
                          </m:e>
                          <m:sub>
                            <m:r>
                              <w:rPr>
                                <w:rFonts w:ascii="Cambria Math" w:hAnsi="Cambria Math"/>
                              </w:rPr>
                              <m:t>-3</m:t>
                            </m:r>
                          </m:sub>
                        </m:sSub>
                        <m:r>
                          <m:rPr>
                            <m:sty m:val="p"/>
                          </m:rPr>
                          <w:rPr>
                            <w:rFonts w:ascii="Cambria Math" w:hAnsi="Cambria Math"/>
                          </w:rPr>
                          <m:t>+</m:t>
                        </m:r>
                        <m:sSub>
                          <m:sSubPr>
                            <m:ctrlPr>
                              <w:rPr>
                                <w:rFonts w:ascii="Cambria Math" w:hAnsi="Cambria Math"/>
                                <w:bCs/>
                                <w:i/>
                                <w:iCs/>
                              </w:rPr>
                            </m:ctrlPr>
                          </m:sSubPr>
                          <m:e>
                            <m:r>
                              <w:rPr>
                                <w:rFonts w:ascii="Cambria Math" w:hAnsi="Cambria Math"/>
                              </w:rPr>
                              <m:t>k</m:t>
                            </m:r>
                          </m:e>
                          <m:sub>
                            <m:r>
                              <w:rPr>
                                <w:rFonts w:ascii="Cambria Math" w:hAnsi="Cambria Math"/>
                              </w:rPr>
                              <m:t>4</m:t>
                            </m:r>
                          </m:sub>
                        </m:sSub>
                      </m:e>
                    </m:d>
                  </m:e>
                  <m:e>
                    <m:sSub>
                      <m:sSubPr>
                        <m:ctrlPr>
                          <w:rPr>
                            <w:rFonts w:ascii="Cambria Math" w:hAnsi="Cambria Math"/>
                            <w:bCs/>
                            <w:i/>
                            <w:iCs/>
                          </w:rPr>
                        </m:ctrlPr>
                      </m:sSubPr>
                      <m:e>
                        <m:r>
                          <w:rPr>
                            <w:rFonts w:ascii="Cambria Math" w:hAnsi="Cambria Math"/>
                          </w:rPr>
                          <m:t>k</m:t>
                        </m:r>
                      </m:e>
                      <m:sub>
                        <m:r>
                          <w:rPr>
                            <w:rFonts w:ascii="Cambria Math" w:hAnsi="Cambria Math"/>
                          </w:rPr>
                          <m:t>-4</m:t>
                        </m:r>
                      </m:sub>
                    </m:sSub>
                  </m:e>
                  <m:e>
                    <m:r>
                      <w:rPr>
                        <w:rFonts w:ascii="Cambria Math" w:hAnsi="Cambria Math"/>
                      </w:rPr>
                      <m:t>0</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0</m:t>
                    </m:r>
                  </m:e>
                  <m:e>
                    <m:sSub>
                      <m:sSubPr>
                        <m:ctrlPr>
                          <w:rPr>
                            <w:rFonts w:ascii="Cambria Math" w:hAnsi="Cambria Math"/>
                            <w:bCs/>
                            <w:i/>
                            <w:iCs/>
                          </w:rPr>
                        </m:ctrlPr>
                      </m:sSubPr>
                      <m:e>
                        <m:r>
                          <w:rPr>
                            <w:rFonts w:ascii="Cambria Math" w:hAnsi="Cambria Math"/>
                          </w:rPr>
                          <m:t>k</m:t>
                        </m:r>
                      </m:e>
                      <m:sub>
                        <m:r>
                          <w:rPr>
                            <w:rFonts w:ascii="Cambria Math" w:hAnsi="Cambria Math"/>
                          </w:rPr>
                          <m:t>4</m:t>
                        </m:r>
                      </m:sub>
                    </m:sSub>
                  </m:e>
                  <m:e>
                    <m:r>
                      <m:rPr>
                        <m:sty m:val="p"/>
                      </m:rPr>
                      <w:rPr>
                        <w:rFonts w:ascii="Cambria Math" w:hAnsi="Cambria Math"/>
                      </w:rPr>
                      <m:t>-</m:t>
                    </m:r>
                    <m:sSub>
                      <m:sSubPr>
                        <m:ctrlPr>
                          <w:rPr>
                            <w:rFonts w:ascii="Cambria Math" w:hAnsi="Cambria Math"/>
                            <w:bCs/>
                            <w:i/>
                            <w:iCs/>
                          </w:rPr>
                        </m:ctrlPr>
                      </m:sSubPr>
                      <m:e>
                        <m:r>
                          <w:rPr>
                            <w:rFonts w:ascii="Cambria Math" w:hAnsi="Cambria Math"/>
                          </w:rPr>
                          <m:t>(k</m:t>
                        </m:r>
                      </m:e>
                      <m:sub>
                        <m:r>
                          <w:rPr>
                            <w:rFonts w:ascii="Cambria Math" w:hAnsi="Cambria Math"/>
                          </w:rPr>
                          <m:t>-4</m:t>
                        </m:r>
                      </m:sub>
                    </m:sSub>
                    <m:r>
                      <w:rPr>
                        <w:rFonts w:ascii="Cambria Math" w:hAnsi="Cambria Math"/>
                      </w:rPr>
                      <m:t>+</m:t>
                    </m:r>
                    <m:sSub>
                      <m:sSubPr>
                        <m:ctrlPr>
                          <w:rPr>
                            <w:rFonts w:ascii="Cambria Math" w:hAnsi="Cambria Math"/>
                            <w:bCs/>
                            <w:i/>
                            <w:iCs/>
                          </w:rPr>
                        </m:ctrlPr>
                      </m:sSubPr>
                      <m:e>
                        <m:r>
                          <w:rPr>
                            <w:rFonts w:ascii="Cambria Math" w:hAnsi="Cambria Math"/>
                          </w:rPr>
                          <m:t>k</m:t>
                        </m:r>
                      </m:e>
                      <m:sub>
                        <m:r>
                          <w:rPr>
                            <w:rFonts w:ascii="Cambria Math" w:hAnsi="Cambria Math"/>
                          </w:rPr>
                          <m:t>5</m:t>
                        </m:r>
                      </m:sub>
                    </m:sSub>
                    <m:r>
                      <w:rPr>
                        <w:rFonts w:ascii="Cambria Math" w:hAnsi="Cambria Math"/>
                      </w:rPr>
                      <m:t>)</m:t>
                    </m:r>
                  </m:e>
                  <m:e>
                    <m:sSub>
                      <m:sSubPr>
                        <m:ctrlPr>
                          <w:rPr>
                            <w:rFonts w:ascii="Cambria Math" w:hAnsi="Cambria Math"/>
                            <w:bCs/>
                            <w:i/>
                            <w:iCs/>
                          </w:rPr>
                        </m:ctrlPr>
                      </m:sSubPr>
                      <m:e>
                        <m:r>
                          <w:rPr>
                            <w:rFonts w:ascii="Cambria Math" w:hAnsi="Cambria Math"/>
                          </w:rPr>
                          <m:t>k</m:t>
                        </m:r>
                      </m:e>
                      <m:sub>
                        <m:r>
                          <w:rPr>
                            <w:rFonts w:ascii="Cambria Math" w:hAnsi="Cambria Math"/>
                          </w:rPr>
                          <m:t>-5</m:t>
                        </m:r>
                      </m:sub>
                    </m:sSub>
                  </m:e>
                </m:mr>
                <m:mr>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sSub>
                      <m:sSubPr>
                        <m:ctrlPr>
                          <w:rPr>
                            <w:rFonts w:ascii="Cambria Math" w:hAnsi="Cambria Math"/>
                            <w:bCs/>
                            <w:i/>
                            <w:iCs/>
                          </w:rPr>
                        </m:ctrlPr>
                      </m:sSubPr>
                      <m:e>
                        <m:r>
                          <w:rPr>
                            <w:rFonts w:ascii="Cambria Math" w:hAnsi="Cambria Math"/>
                          </w:rPr>
                          <m:t>k</m:t>
                        </m:r>
                      </m:e>
                      <m:sub>
                        <m:r>
                          <w:rPr>
                            <w:rFonts w:ascii="Cambria Math" w:hAnsi="Cambria Math"/>
                          </w:rPr>
                          <m:t>5</m:t>
                        </m:r>
                      </m:sub>
                    </m:sSub>
                  </m:e>
                  <m:e>
                    <m:r>
                      <w:rPr>
                        <w:rFonts w:ascii="Cambria Math" w:hAnsi="Cambria Math"/>
                      </w:rPr>
                      <m:t>-</m:t>
                    </m:r>
                    <m:sSub>
                      <m:sSubPr>
                        <m:ctrlPr>
                          <w:rPr>
                            <w:rFonts w:ascii="Cambria Math" w:hAnsi="Cambria Math"/>
                            <w:bCs/>
                            <w:i/>
                            <w:iCs/>
                          </w:rPr>
                        </m:ctrlPr>
                      </m:sSubPr>
                      <m:e>
                        <m:r>
                          <w:rPr>
                            <w:rFonts w:ascii="Cambria Math" w:hAnsi="Cambria Math"/>
                          </w:rPr>
                          <m:t>k</m:t>
                        </m:r>
                      </m:e>
                      <m:sub>
                        <m:r>
                          <w:rPr>
                            <w:rFonts w:ascii="Cambria Math" w:hAnsi="Cambria Math"/>
                          </w:rPr>
                          <m:t>-5</m:t>
                        </m:r>
                      </m:sub>
                    </m:sSub>
                  </m:e>
                </m:mr>
              </m:m>
            </m:e>
          </m:d>
        </m:oMath>
      </m:oMathPara>
    </w:p>
    <w:p w:rsidR="000C60EC" w:rsidRDefault="00CF7C7D" w:rsidP="008C1B47">
      <w:pPr>
        <w:spacing w:line="480" w:lineRule="auto"/>
      </w:pPr>
      <w:r>
        <w:lastRenderedPageBreak/>
        <w:t xml:space="preserve"> The </w:t>
      </w:r>
      <w:r w:rsidRPr="00CF7C7D">
        <w:t>k</w:t>
      </w:r>
      <w:r w:rsidRPr="00CF7C7D">
        <w:rPr>
          <w:vertAlign w:val="subscript"/>
        </w:rPr>
        <w:softHyphen/>
        <w:t>obs</w:t>
      </w:r>
      <w:r>
        <w:t xml:space="preserve"> values (see data fitting section) should be equal to the </w:t>
      </w:r>
      <w:r w:rsidR="009C3428">
        <w:t xml:space="preserve">opposite sign of the </w:t>
      </w:r>
      <w:r>
        <w:t>eigenvalues</w:t>
      </w:r>
      <w:r w:rsidR="009C3428">
        <w:t>, λ,</w:t>
      </w:r>
      <w:r>
        <w:t xml:space="preserve"> of the rate matrix M</w:t>
      </w:r>
      <w:r w:rsidR="00096C1A">
        <w:t xml:space="preserve"> (k</w:t>
      </w:r>
      <w:r w:rsidR="00096C1A" w:rsidRPr="00096C1A">
        <w:rPr>
          <w:vertAlign w:val="subscript"/>
        </w:rPr>
        <w:softHyphen/>
        <w:t>obs</w:t>
      </w:r>
      <w:r w:rsidR="00096C1A" w:rsidRPr="00096C1A">
        <w:rPr>
          <w:vertAlign w:val="subscript"/>
        </w:rPr>
        <w:softHyphen/>
      </w:r>
      <w:r w:rsidR="00096C1A">
        <w:t xml:space="preserve"> = -λ)</w:t>
      </w:r>
      <w:r>
        <w:t xml:space="preserve">.  </w:t>
      </w:r>
      <w:r w:rsidR="00E82DB4">
        <w:t>For a given set of rate constants, K={k</w:t>
      </w:r>
      <w:r w:rsidR="00E82DB4" w:rsidRPr="00E82DB4">
        <w:rPr>
          <w:vertAlign w:val="subscript"/>
        </w:rPr>
        <w:t>1f</w:t>
      </w:r>
      <w:r w:rsidR="00E82DB4">
        <w:t>, k</w:t>
      </w:r>
      <w:r w:rsidR="00E82DB4" w:rsidRPr="00E82DB4">
        <w:rPr>
          <w:vertAlign w:val="subscript"/>
        </w:rPr>
        <w:t>1r</w:t>
      </w:r>
      <w:r w:rsidR="00E82DB4">
        <w:t>…k</w:t>
      </w:r>
      <w:r w:rsidR="009C3428">
        <w:rPr>
          <w:vertAlign w:val="subscript"/>
        </w:rPr>
        <w:t>5</w:t>
      </w:r>
      <w:r w:rsidR="00E82DB4" w:rsidRPr="00E82DB4">
        <w:rPr>
          <w:vertAlign w:val="subscript"/>
        </w:rPr>
        <w:t>f</w:t>
      </w:r>
      <w:r w:rsidR="00E82DB4">
        <w:t>,K</w:t>
      </w:r>
      <w:r w:rsidR="009C3428">
        <w:rPr>
          <w:vertAlign w:val="subscript"/>
        </w:rPr>
        <w:t>5</w:t>
      </w:r>
      <w:r w:rsidR="00E82DB4" w:rsidRPr="00E82DB4">
        <w:rPr>
          <w:vertAlign w:val="subscript"/>
        </w:rPr>
        <w:t>r</w:t>
      </w:r>
      <w:r w:rsidR="00E82DB4">
        <w:t>}</w:t>
      </w:r>
      <w:r w:rsidR="007F383B">
        <w:t xml:space="preserve"> we can calculate the eigenvalues and then compare them to the calculated observed rates at each ion concentration.</w:t>
      </w:r>
      <w:r w:rsidR="00023C97">
        <w:t xml:space="preserve">  To compare the relative fitness of each set K we can write an objective function to calculate the sum of square residuals</w:t>
      </w:r>
      <w:r w:rsidR="00726E00">
        <w:t xml:space="preserve"> </w:t>
      </w:r>
      <w:r w:rsidR="005107B8">
        <w:t>(θ), SSR,</w:t>
      </w:r>
      <w:r w:rsidR="00023C97">
        <w:t xml:space="preserve"> of each set (</w:t>
      </w:r>
      <w:r w:rsidR="000E426E">
        <w:t>M</w:t>
      </w:r>
      <w:r w:rsidR="006923C9">
        <w:t>A</w:t>
      </w:r>
      <w:r w:rsidR="00023C97">
        <w:t>3)</w:t>
      </w:r>
      <w:r w:rsidR="005107B8">
        <w:t xml:space="preserve"> at every ion concentration, </w:t>
      </w:r>
      <w:r w:rsidR="003A1C31">
        <w:t>δ</w:t>
      </w:r>
      <w:r w:rsidR="00023C97">
        <w:t>.  When there are multiple measured observed rates</w:t>
      </w:r>
      <w:r w:rsidR="000E426E">
        <w:t xml:space="preserve"> (</w:t>
      </w:r>
      <w:r w:rsidR="00023C97">
        <w:t>3 in our case</w:t>
      </w:r>
      <w:r w:rsidR="000E426E">
        <w:t>)</w:t>
      </w:r>
      <w:r w:rsidR="00023C97">
        <w:t xml:space="preserve"> we order the eigenvalues by size and then compare each set of observed rates to the eigenvalues of similar magnitude.  Lastly, we weight</w:t>
      </w:r>
      <w:r w:rsidR="000C60EC">
        <w:t xml:space="preserve"> each point of</w:t>
      </w:r>
      <w:r w:rsidR="00023C97">
        <w:t xml:space="preserve"> the SSR by </w:t>
      </w:r>
      <w:r w:rsidR="000C60EC">
        <w:t xml:space="preserve">its value of </w:t>
      </w:r>
      <w:r w:rsidR="000C60EC" w:rsidRPr="000C60EC">
        <w:t>k</w:t>
      </w:r>
      <w:r w:rsidR="000C60EC" w:rsidRPr="000C60EC">
        <w:softHyphen/>
      </w:r>
      <w:r w:rsidR="000C60EC" w:rsidRPr="000C60EC">
        <w:rPr>
          <w:vertAlign w:val="subscript"/>
        </w:rPr>
        <w:t>obs</w:t>
      </w:r>
      <w:r w:rsidR="000C60EC" w:rsidRPr="000C60EC">
        <w:rPr>
          <w:vertAlign w:val="subscript"/>
        </w:rPr>
        <w:softHyphen/>
      </w:r>
      <w:r w:rsidR="000E426E">
        <w:t>;</w:t>
      </w:r>
      <w:r w:rsidR="000C60EC">
        <w:t xml:space="preserve"> this prevents the function from biasing the larger magnitude eigenvalues</w:t>
      </w:r>
      <w:r w:rsidR="00F938A9">
        <w:t xml:space="preserve"> (</w:t>
      </w:r>
      <w:r w:rsidR="000E426E">
        <w:t>M</w:t>
      </w:r>
      <w:r w:rsidR="006923C9">
        <w:t>A</w:t>
      </w:r>
      <w:r w:rsidR="00F938A9">
        <w:t>3)</w:t>
      </w:r>
      <w:r w:rsidR="000C60EC">
        <w:t>.</w:t>
      </w:r>
    </w:p>
    <w:p w:rsidR="001B3CD5" w:rsidRDefault="006F7559" w:rsidP="008C1B47">
      <w:pPr>
        <w:spacing w:line="480" w:lineRule="auto"/>
      </w:pPr>
      <w:r>
        <w:t>(</w:t>
      </w:r>
      <w:r w:rsidR="000E426E">
        <w:t>M</w:t>
      </w:r>
      <w:r w:rsidR="006923C9">
        <w:t>A</w:t>
      </w:r>
      <w:r>
        <w:t>3)</w:t>
      </w:r>
    </w:p>
    <w:p w:rsidR="00CB3DC3" w:rsidRDefault="00CB3DC3" w:rsidP="008C1B47">
      <w:pPr>
        <w:spacing w:line="480" w:lineRule="auto"/>
      </w:pPr>
      <m:oMathPara>
        <m:oMath>
          <m:r>
            <w:rPr>
              <w:rFonts w:ascii="Cambria Math" w:hAnsi="Cambria Math"/>
            </w:rPr>
            <m:t>θ(K)=</m:t>
          </m:r>
          <m:nary>
            <m:naryPr>
              <m:chr m:val="∑"/>
              <m:limLoc m:val="undOvr"/>
              <m:supHide m:val="1"/>
              <m:ctrlPr>
                <w:rPr>
                  <w:rFonts w:ascii="Cambria Math" w:hAnsi="Cambria Math"/>
                  <w:i/>
                </w:rPr>
              </m:ctrlPr>
            </m:naryPr>
            <m:sub>
              <m:r>
                <w:rPr>
                  <w:rFonts w:ascii="Cambria Math" w:hAnsi="Cambria Math"/>
                </w:rPr>
                <m:t>δ</m:t>
              </m:r>
            </m:sub>
            <m:sup/>
            <m:e>
              <m:nary>
                <m:naryPr>
                  <m:chr m:val="∑"/>
                  <m:limLoc m:val="undOvr"/>
                  <m:supHide m:val="1"/>
                  <m:ctrlPr>
                    <w:rPr>
                      <w:rFonts w:ascii="Cambria Math" w:hAnsi="Cambria Math"/>
                      <w:i/>
                    </w:rPr>
                  </m:ctrlPr>
                </m:naryPr>
                <m:sub>
                  <m:r>
                    <w:rPr>
                      <w:rFonts w:ascii="Cambria Math" w:hAnsi="Cambria Math"/>
                    </w:rPr>
                    <m:t>n=3</m:t>
                  </m:r>
                </m:sub>
                <m:sup/>
                <m:e>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obs, n</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n</m:t>
                                      </m:r>
                                    </m:sub>
                                  </m:sSub>
                                  <m:d>
                                    <m:dPr>
                                      <m:ctrlPr>
                                        <w:rPr>
                                          <w:rFonts w:ascii="Cambria Math" w:hAnsi="Cambria Math"/>
                                          <w:i/>
                                        </w:rPr>
                                      </m:ctrlPr>
                                    </m:dPr>
                                    <m:e>
                                      <m:r>
                                        <w:rPr>
                                          <w:rFonts w:ascii="Cambria Math" w:hAnsi="Cambria Math"/>
                                        </w:rPr>
                                        <m:t>K</m:t>
                                      </m:r>
                                    </m:e>
                                  </m:d>
                                </m:num>
                                <m:den>
                                  <m:sSub>
                                    <m:sSubPr>
                                      <m:ctrlPr>
                                        <w:rPr>
                                          <w:rFonts w:ascii="Cambria Math" w:hAnsi="Cambria Math"/>
                                          <w:i/>
                                        </w:rPr>
                                      </m:ctrlPr>
                                    </m:sSubPr>
                                    <m:e>
                                      <m:r>
                                        <w:rPr>
                                          <w:rFonts w:ascii="Cambria Math" w:hAnsi="Cambria Math"/>
                                        </w:rPr>
                                        <m:t>k</m:t>
                                      </m:r>
                                    </m:e>
                                    <m:sub>
                                      <m:r>
                                        <w:rPr>
                                          <w:rFonts w:ascii="Cambria Math" w:hAnsi="Cambria Math"/>
                                        </w:rPr>
                                        <m:t>obs, n</m:t>
                                      </m:r>
                                    </m:sub>
                                  </m:sSub>
                                </m:den>
                              </m:f>
                            </m:e>
                          </m:d>
                        </m:e>
                        <m:sup>
                          <m:r>
                            <w:rPr>
                              <w:rFonts w:ascii="Cambria Math" w:hAnsi="Cambria Math"/>
                            </w:rPr>
                            <m:t>2</m:t>
                          </m:r>
                        </m:sup>
                      </m:sSup>
                    </m:e>
                  </m:rad>
                </m:e>
              </m:nary>
            </m:e>
          </m:nary>
          <m:r>
            <w:rPr>
              <w:rFonts w:ascii="Cambria Math" w:eastAsiaTheme="minorEastAsia" w:hAnsi="Cambria Math"/>
            </w:rPr>
            <m:t xml:space="preserve"> </m:t>
          </m:r>
        </m:oMath>
      </m:oMathPara>
    </w:p>
    <w:p w:rsidR="006F7559" w:rsidRDefault="000E426E" w:rsidP="000D5B36">
      <w:pPr>
        <w:spacing w:line="480" w:lineRule="auto"/>
        <w:outlineLvl w:val="0"/>
      </w:pPr>
      <w:r>
        <w:rPr>
          <w:b/>
        </w:rPr>
        <w:t>Modeling</w:t>
      </w:r>
      <w:r w:rsidR="006F7559" w:rsidRPr="00B56E8C">
        <w:rPr>
          <w:b/>
        </w:rPr>
        <w:t xml:space="preserve"> algorithms:</w:t>
      </w:r>
      <w:r w:rsidR="006F7559">
        <w:rPr>
          <w:b/>
        </w:rPr>
        <w:t xml:space="preserve"> Gen</w:t>
      </w:r>
      <w:r w:rsidR="00416C4C">
        <w:rPr>
          <w:b/>
        </w:rPr>
        <w:t>e</w:t>
      </w:r>
      <w:r w:rsidR="006F7559">
        <w:rPr>
          <w:b/>
        </w:rPr>
        <w:t>tic algorithm</w:t>
      </w:r>
    </w:p>
    <w:p w:rsidR="00D0441F" w:rsidRDefault="00D0441F" w:rsidP="008C1B47">
      <w:pPr>
        <w:spacing w:line="480" w:lineRule="auto"/>
      </w:pPr>
      <w:r>
        <w:t xml:space="preserve">With the objective function defined we can attempt to estimate the </w:t>
      </w:r>
      <w:r w:rsidR="008D1F4C">
        <w:t xml:space="preserve">rate </w:t>
      </w:r>
      <w:r>
        <w:t>constants with a meta-optimization process, the genetic algorithm (GA).  A GA is an optimization algorithm that mimics natural selection, below is its workflow</w:t>
      </w:r>
      <w:r w:rsidR="00E23931">
        <w:t xml:space="preserve"> for general, as well as our specific case</w:t>
      </w:r>
      <w:r>
        <w:t>.</w:t>
      </w:r>
    </w:p>
    <w:p w:rsidR="00D0441F" w:rsidRPr="00623153" w:rsidRDefault="00D0441F" w:rsidP="008C1B47">
      <w:pPr>
        <w:pStyle w:val="ListParagraph"/>
        <w:numPr>
          <w:ilvl w:val="0"/>
          <w:numId w:val="3"/>
        </w:numPr>
        <w:spacing w:line="480" w:lineRule="auto"/>
        <w:rPr>
          <w:i/>
        </w:rPr>
      </w:pPr>
      <w:r w:rsidRPr="00623153">
        <w:rPr>
          <w:i/>
        </w:rPr>
        <w:t>An initial population is created.</w:t>
      </w:r>
    </w:p>
    <w:p w:rsidR="00D0441F" w:rsidRDefault="0041711C" w:rsidP="008C1B47">
      <w:pPr>
        <w:pStyle w:val="ListParagraph"/>
        <w:numPr>
          <w:ilvl w:val="1"/>
          <w:numId w:val="3"/>
        </w:numPr>
        <w:spacing w:line="480" w:lineRule="auto"/>
      </w:pPr>
      <w:r>
        <w:t>The population consists of individuals (sets of rates</w:t>
      </w:r>
      <w:r w:rsidR="008D1F4C">
        <w:t>, K</w:t>
      </w:r>
      <w:r>
        <w:t>) made up of random elements (randomly generated rates)</w:t>
      </w:r>
    </w:p>
    <w:p w:rsidR="00D0441F" w:rsidRPr="00623153" w:rsidRDefault="00D0441F" w:rsidP="008C1B47">
      <w:pPr>
        <w:pStyle w:val="ListParagraph"/>
        <w:numPr>
          <w:ilvl w:val="0"/>
          <w:numId w:val="3"/>
        </w:numPr>
        <w:spacing w:line="480" w:lineRule="auto"/>
        <w:rPr>
          <w:i/>
        </w:rPr>
      </w:pPr>
      <w:r w:rsidRPr="00623153">
        <w:rPr>
          <w:i/>
        </w:rPr>
        <w:t xml:space="preserve">The fitness of each </w:t>
      </w:r>
      <w:r w:rsidR="0041711C" w:rsidRPr="00623153">
        <w:rPr>
          <w:i/>
        </w:rPr>
        <w:t>individual</w:t>
      </w:r>
      <w:r w:rsidRPr="00623153">
        <w:rPr>
          <w:i/>
        </w:rPr>
        <w:t xml:space="preserve"> is tested</w:t>
      </w:r>
    </w:p>
    <w:p w:rsidR="0041711C" w:rsidRDefault="00623153" w:rsidP="008C1B47">
      <w:pPr>
        <w:pStyle w:val="ListParagraph"/>
        <w:numPr>
          <w:ilvl w:val="1"/>
          <w:numId w:val="3"/>
        </w:numPr>
        <w:spacing w:line="480" w:lineRule="auto"/>
      </w:pPr>
      <w:r>
        <w:t>Each individual is evaluated by the fitness function (</w:t>
      </w:r>
      <w:r w:rsidR="00664B7D">
        <w:t>M</w:t>
      </w:r>
      <w:r w:rsidR="006923C9">
        <w:t>A</w:t>
      </w:r>
      <w:r>
        <w:t>3)</w:t>
      </w:r>
    </w:p>
    <w:p w:rsidR="00D0441F" w:rsidRPr="00623153" w:rsidRDefault="00D0441F" w:rsidP="008C1B47">
      <w:pPr>
        <w:pStyle w:val="ListParagraph"/>
        <w:numPr>
          <w:ilvl w:val="0"/>
          <w:numId w:val="3"/>
        </w:numPr>
        <w:spacing w:line="480" w:lineRule="auto"/>
        <w:rPr>
          <w:i/>
        </w:rPr>
      </w:pPr>
      <w:r w:rsidRPr="00623153">
        <w:rPr>
          <w:i/>
        </w:rPr>
        <w:t xml:space="preserve">A subpopulation </w:t>
      </w:r>
      <w:r w:rsidR="00623153">
        <w:rPr>
          <w:i/>
        </w:rPr>
        <w:t xml:space="preserve">of individuals </w:t>
      </w:r>
      <w:r w:rsidRPr="00623153">
        <w:rPr>
          <w:i/>
        </w:rPr>
        <w:t>with the best fitness values are set aside.</w:t>
      </w:r>
    </w:p>
    <w:p w:rsidR="00623153" w:rsidRDefault="00623153" w:rsidP="008C1B47">
      <w:pPr>
        <w:pStyle w:val="ListParagraph"/>
        <w:numPr>
          <w:ilvl w:val="1"/>
          <w:numId w:val="3"/>
        </w:numPr>
        <w:spacing w:line="480" w:lineRule="auto"/>
      </w:pPr>
      <w:r>
        <w:t>The individuals with the lowest theta values are saved in memory.</w:t>
      </w:r>
    </w:p>
    <w:p w:rsidR="00D0441F" w:rsidRPr="00623153" w:rsidRDefault="00D0441F" w:rsidP="008C1B47">
      <w:pPr>
        <w:pStyle w:val="ListParagraph"/>
        <w:numPr>
          <w:ilvl w:val="0"/>
          <w:numId w:val="3"/>
        </w:numPr>
        <w:spacing w:line="480" w:lineRule="auto"/>
        <w:rPr>
          <w:i/>
        </w:rPr>
      </w:pPr>
      <w:r w:rsidRPr="00623153">
        <w:rPr>
          <w:i/>
        </w:rPr>
        <w:lastRenderedPageBreak/>
        <w:t xml:space="preserve">A new population is created by crossing and mutating the population from step </w:t>
      </w:r>
      <w:r w:rsidR="00623153" w:rsidRPr="00623153">
        <w:rPr>
          <w:i/>
        </w:rPr>
        <w:t>three</w:t>
      </w:r>
      <w:r w:rsidRPr="00623153">
        <w:rPr>
          <w:i/>
        </w:rPr>
        <w:t>.</w:t>
      </w:r>
    </w:p>
    <w:p w:rsidR="00623153" w:rsidRDefault="00F23885" w:rsidP="008C1B47">
      <w:pPr>
        <w:pStyle w:val="ListParagraph"/>
        <w:numPr>
          <w:ilvl w:val="1"/>
          <w:numId w:val="3"/>
        </w:numPr>
        <w:spacing w:line="480" w:lineRule="auto"/>
      </w:pPr>
      <w:r>
        <w:t xml:space="preserve">Crossover consists of randomly </w:t>
      </w:r>
      <w:r w:rsidR="00311F46">
        <w:t xml:space="preserve">interchanging elements between </w:t>
      </w:r>
      <w:r>
        <w:t>two individuals, mutation consists of exchanging individual elements with randomly generated values.</w:t>
      </w:r>
    </w:p>
    <w:p w:rsidR="00D0441F" w:rsidRPr="00F23885" w:rsidRDefault="00D0441F" w:rsidP="008C1B47">
      <w:pPr>
        <w:pStyle w:val="ListParagraph"/>
        <w:numPr>
          <w:ilvl w:val="0"/>
          <w:numId w:val="3"/>
        </w:numPr>
        <w:spacing w:line="480" w:lineRule="auto"/>
        <w:rPr>
          <w:i/>
        </w:rPr>
      </w:pPr>
      <w:r w:rsidRPr="00F23885">
        <w:rPr>
          <w:i/>
        </w:rPr>
        <w:t>Steps 2 through 4 are iteratively repeated until stopped.</w:t>
      </w:r>
    </w:p>
    <w:p w:rsidR="00F23885" w:rsidRDefault="00F23885" w:rsidP="008C1B47">
      <w:pPr>
        <w:pStyle w:val="ListParagraph"/>
        <w:numPr>
          <w:ilvl w:val="1"/>
          <w:numId w:val="3"/>
        </w:numPr>
        <w:spacing w:line="480" w:lineRule="auto"/>
      </w:pPr>
      <w:r>
        <w:t xml:space="preserve">The stopping </w:t>
      </w:r>
      <w:r w:rsidR="008D1F4C">
        <w:t xml:space="preserve">criterion is </w:t>
      </w:r>
      <w:r>
        <w:t>after the theta value of the fittest individual doesn’t change after a number of iterations.</w:t>
      </w:r>
    </w:p>
    <w:p w:rsidR="00D143AC" w:rsidRPr="00D0441F" w:rsidRDefault="00D143AC" w:rsidP="008C1B47">
      <w:pPr>
        <w:spacing w:line="480" w:lineRule="auto"/>
        <w:ind w:left="360"/>
      </w:pPr>
      <w:r>
        <w:t xml:space="preserve">All modeling was performed in MATLAB using inbuilt functions, eigenvalues were calculated using the ‘eigs’ function, the genetic algorithm used was the ‘ga’ function.  Not only is this method relatively quick at estimating sets of rates, but can also be used to </w:t>
      </w:r>
      <w:r w:rsidR="008D1F4C">
        <w:t>disprove</w:t>
      </w:r>
      <w:r>
        <w:t xml:space="preserve"> kinetic mechanisms that cannot replicate the NLLS calculated observed rates.</w:t>
      </w:r>
    </w:p>
    <w:p w:rsidR="008D7B23" w:rsidRDefault="000E426E" w:rsidP="000D5B36">
      <w:pPr>
        <w:spacing w:line="480" w:lineRule="auto"/>
        <w:outlineLvl w:val="0"/>
      </w:pPr>
      <w:r>
        <w:rPr>
          <w:b/>
        </w:rPr>
        <w:t>Modeling</w:t>
      </w:r>
      <w:r w:rsidR="008D7B23" w:rsidRPr="00B56E8C">
        <w:rPr>
          <w:b/>
        </w:rPr>
        <w:t xml:space="preserve"> algorithms:</w:t>
      </w:r>
      <w:r w:rsidR="008D7B23">
        <w:rPr>
          <w:b/>
        </w:rPr>
        <w:t xml:space="preserve"> curve</w:t>
      </w:r>
      <w:r w:rsidR="007310B7">
        <w:rPr>
          <w:b/>
        </w:rPr>
        <w:t xml:space="preserve"> </w:t>
      </w:r>
      <w:r w:rsidR="008D7B23">
        <w:rPr>
          <w:b/>
        </w:rPr>
        <w:t>fitting and MOGA</w:t>
      </w:r>
    </w:p>
    <w:p w:rsidR="00AA5371" w:rsidRDefault="00AA5371" w:rsidP="008C1B47">
      <w:pPr>
        <w:spacing w:line="480" w:lineRule="auto"/>
      </w:pPr>
      <w:r>
        <w:t xml:space="preserve">After </w:t>
      </w:r>
      <w:r w:rsidR="008D1F4C">
        <w:t xml:space="preserve">optimizing </w:t>
      </w:r>
      <w:r w:rsidR="00625126">
        <w:t>M</w:t>
      </w:r>
      <w:r w:rsidR="006923C9">
        <w:t>A</w:t>
      </w:r>
      <w:r w:rsidR="008D1F4C">
        <w:t xml:space="preserve">3 </w:t>
      </w:r>
      <w:r>
        <w:t xml:space="preserve">the search space </w:t>
      </w:r>
      <w:r w:rsidR="008D1F4C">
        <w:t xml:space="preserve">is </w:t>
      </w:r>
      <w:r>
        <w:t xml:space="preserve">narrowed down.  This allows us to start testing </w:t>
      </w:r>
      <w:r w:rsidR="00544D7D">
        <w:t xml:space="preserve">sets of </w:t>
      </w:r>
      <w:r>
        <w:t>rates against the ac</w:t>
      </w:r>
      <w:r w:rsidR="00544D7D">
        <w:t>t</w:t>
      </w:r>
      <w:r>
        <w:t>ual data.  To do this we need to make a new objective function that compares the models to the data. The new objective function can be broken down in to three steps.</w:t>
      </w:r>
    </w:p>
    <w:p w:rsidR="00AA5371" w:rsidRDefault="00AA5371" w:rsidP="008C1B47">
      <w:pPr>
        <w:pStyle w:val="ListParagraph"/>
        <w:numPr>
          <w:ilvl w:val="0"/>
          <w:numId w:val="4"/>
        </w:numPr>
        <w:spacing w:line="480" w:lineRule="auto"/>
      </w:pPr>
      <w:r>
        <w:t>For a given set of K</w:t>
      </w:r>
      <w:r>
        <w:rPr>
          <w:vertAlign w:val="subscript"/>
        </w:rPr>
        <w:t>N</w:t>
      </w:r>
      <w:r>
        <w:t xml:space="preserve"> the concentration of the state at the experimentally measured time points </w:t>
      </w:r>
      <w:r w:rsidR="00625126">
        <w:t>is</w:t>
      </w:r>
      <w:r>
        <w:t xml:space="preserve"> calculated with a  </w:t>
      </w:r>
      <w:r w:rsidR="00F70403">
        <w:t>non-stiff</w:t>
      </w:r>
      <w:r w:rsidR="00C554D9">
        <w:t xml:space="preserve"> ordinary differential equation solver  (we used the ‘ODE23’ function native to MATLAB)</w:t>
      </w:r>
    </w:p>
    <w:p w:rsidR="008F7833" w:rsidRDefault="00C554D9" w:rsidP="008C1B47">
      <w:pPr>
        <w:pStyle w:val="ListParagraph"/>
        <w:numPr>
          <w:ilvl w:val="0"/>
          <w:numId w:val="4"/>
        </w:numPr>
        <w:spacing w:line="480" w:lineRule="auto"/>
      </w:pPr>
      <w:r>
        <w:t xml:space="preserve">As shown in equation </w:t>
      </w:r>
      <w:r w:rsidR="00625126">
        <w:t>P5</w:t>
      </w:r>
      <w:r>
        <w:t xml:space="preserve"> the product of the matrix of state concentrations and the vector of molar fluorescence values of the states should equal the data.  We </w:t>
      </w:r>
      <w:r w:rsidR="00625126">
        <w:t>use</w:t>
      </w:r>
      <w:r>
        <w:t xml:space="preserve"> </w:t>
      </w:r>
      <w:r w:rsidR="00C00B35">
        <w:t>the MATLAB function ‘fmincon’ (</w:t>
      </w:r>
      <w:r>
        <w:t>a gradient descent optim</w:t>
      </w:r>
      <w:r w:rsidR="008F7833">
        <w:t>ization algorithm) to o</w:t>
      </w:r>
      <w:r w:rsidR="00544D7D">
        <w:t xml:space="preserve">ptimize the molar fluorescence </w:t>
      </w:r>
      <w:r w:rsidR="008F7833">
        <w:t>intensity values that can simulate the data.  We assume that the molar fluorescence intensities are agnostic of ion concentration</w:t>
      </w:r>
      <w:r w:rsidR="00625126">
        <w:t>,</w:t>
      </w:r>
      <w:r w:rsidR="008F7833">
        <w:t xml:space="preserve"> so all ion concentrations for a specific ion are fit simultaneously</w:t>
      </w:r>
    </w:p>
    <w:p w:rsidR="00C554D9" w:rsidRDefault="008F7833" w:rsidP="008C1B47">
      <w:pPr>
        <w:pStyle w:val="ListParagraph"/>
        <w:numPr>
          <w:ilvl w:val="0"/>
          <w:numId w:val="4"/>
        </w:numPr>
        <w:spacing w:line="480" w:lineRule="auto"/>
      </w:pPr>
      <w:r>
        <w:lastRenderedPageBreak/>
        <w:t>Once the molar fluorescence intensities are optimized for a given K</w:t>
      </w:r>
      <w:r>
        <w:rPr>
          <w:vertAlign w:val="subscript"/>
        </w:rPr>
        <w:t>N</w:t>
      </w:r>
      <w:r>
        <w:t xml:space="preserve"> the simulated data are subtracted from the experimental data </w:t>
      </w:r>
      <w:r w:rsidR="00D72AF5">
        <w:t>weighted by the standard deviation</w:t>
      </w:r>
      <w:r w:rsidR="00157480">
        <w:t>, σ</w:t>
      </w:r>
      <w:r w:rsidR="00D72AF5">
        <w:t xml:space="preserve"> (see section data collection and pre-treatment) </w:t>
      </w:r>
      <w:r>
        <w:t>(</w:t>
      </w:r>
      <w:r w:rsidR="000E2BFE">
        <w:t>M</w:t>
      </w:r>
      <w:r w:rsidR="006923C9">
        <w:t>A</w:t>
      </w:r>
      <w:r>
        <w:t>4)</w:t>
      </w:r>
    </w:p>
    <w:p w:rsidR="008F7833" w:rsidRDefault="008F7833" w:rsidP="008C1B47">
      <w:pPr>
        <w:spacing w:line="480" w:lineRule="auto"/>
      </w:pPr>
      <w:r>
        <w:t>(</w:t>
      </w:r>
      <w:r w:rsidR="00625126">
        <w:t>M</w:t>
      </w:r>
      <w:r w:rsidR="006923C9">
        <w:t>A</w:t>
      </w:r>
      <w:r>
        <w:t>4)</w:t>
      </w:r>
    </w:p>
    <w:p w:rsidR="00D72AF5" w:rsidRDefault="00D72AF5" w:rsidP="008C1B47">
      <w:pPr>
        <w:spacing w:line="480" w:lineRule="auto"/>
      </w:pPr>
      <m:oMathPara>
        <m:oMath>
          <m:r>
            <w:rPr>
              <w:rFonts w:ascii="Cambria Math" w:hAnsi="Cambria Math"/>
            </w:rPr>
            <m:t>ϕ=</m:t>
          </m:r>
          <m:nary>
            <m:naryPr>
              <m:chr m:val="∑"/>
              <m:limLoc m:val="undOvr"/>
              <m:supHide m:val="1"/>
              <m:ctrlPr>
                <w:rPr>
                  <w:rFonts w:ascii="Cambria Math" w:hAnsi="Cambria Math"/>
                  <w:i/>
                </w:rPr>
              </m:ctrlPr>
            </m:naryPr>
            <m:sub>
              <m:r>
                <w:rPr>
                  <w:rFonts w:ascii="Cambria Math" w:hAnsi="Cambria Math"/>
                </w:rPr>
                <m:t>δ</m:t>
              </m:r>
            </m:sub>
            <m:sup/>
            <m:e>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data</m:t>
                                  </m:r>
                                </m:e>
                                <m:sub>
                                  <m:r>
                                    <w:rPr>
                                      <w:rFonts w:ascii="Cambria Math" w:hAnsi="Cambria Math"/>
                                    </w:rPr>
                                    <m:t>δ</m:t>
                                  </m:r>
                                </m:sub>
                              </m:sSub>
                              <m:r>
                                <w:rPr>
                                  <w:rFonts w:ascii="Cambria Math" w:hAnsi="Cambria Math"/>
                                </w:rPr>
                                <m:t>-C</m:t>
                              </m:r>
                              <m:d>
                                <m:dPr>
                                  <m:ctrlPr>
                                    <w:rPr>
                                      <w:rFonts w:ascii="Cambria Math" w:hAnsi="Cambria Math"/>
                                      <w:i/>
                                    </w:rPr>
                                  </m:ctrlPr>
                                </m:dPr>
                                <m:e>
                                  <m:r>
                                    <w:rPr>
                                      <w:rFonts w:ascii="Cambria Math" w:hAnsi="Cambria Math"/>
                                    </w:rPr>
                                    <m:t>K</m:t>
                                  </m:r>
                                </m:e>
                              </m:d>
                              <m:r>
                                <w:rPr>
                                  <w:rFonts w:ascii="Cambria Math" w:hAnsi="Cambria Math"/>
                                </w:rPr>
                                <m:t>F</m:t>
                              </m:r>
                            </m:num>
                            <m:den>
                              <m:sSub>
                                <m:sSubPr>
                                  <m:ctrlPr>
                                    <w:rPr>
                                      <w:rFonts w:ascii="Cambria Math" w:hAnsi="Cambria Math"/>
                                      <w:i/>
                                    </w:rPr>
                                  </m:ctrlPr>
                                </m:sSubPr>
                                <m:e>
                                  <m:r>
                                    <w:rPr>
                                      <w:rFonts w:ascii="Cambria Math" w:hAnsi="Cambria Math"/>
                                    </w:rPr>
                                    <m:t>σ</m:t>
                                  </m:r>
                                </m:e>
                                <m:sub>
                                  <m:r>
                                    <w:rPr>
                                      <w:rFonts w:ascii="Cambria Math" w:hAnsi="Cambria Math"/>
                                    </w:rPr>
                                    <m:t>δ</m:t>
                                  </m:r>
                                </m:sub>
                              </m:sSub>
                            </m:den>
                          </m:f>
                        </m:e>
                      </m:d>
                    </m:e>
                    <m:sup>
                      <m:r>
                        <w:rPr>
                          <w:rFonts w:ascii="Cambria Math" w:hAnsi="Cambria Math"/>
                        </w:rPr>
                        <m:t>2</m:t>
                      </m:r>
                    </m:sup>
                  </m:sSup>
                </m:e>
              </m:rad>
            </m:e>
          </m:nary>
        </m:oMath>
      </m:oMathPara>
    </w:p>
    <w:p w:rsidR="00AC599C" w:rsidRDefault="008F7833" w:rsidP="008C1B47">
      <w:pPr>
        <w:spacing w:line="480" w:lineRule="auto"/>
      </w:pPr>
      <w:r>
        <w:t xml:space="preserve">This new objective function has a tendency to optimize to local minima when </w:t>
      </w:r>
      <w:r w:rsidR="00A12639">
        <w:t>run</w:t>
      </w:r>
      <w:r>
        <w:t xml:space="preserve"> alone,</w:t>
      </w:r>
      <w:r w:rsidR="00A12639">
        <w:t xml:space="preserve"> so</w:t>
      </w:r>
      <w:r>
        <w:t xml:space="preserve"> to combat this we employed a multi-objective genetic algorithm (MOGA) </w:t>
      </w:r>
      <w:r w:rsidR="00107989">
        <w:t xml:space="preserve"> (using the</w:t>
      </w:r>
      <w:r w:rsidR="00107989" w:rsidRPr="00107989">
        <w:t xml:space="preserve"> </w:t>
      </w:r>
      <w:r w:rsidR="00107989">
        <w:t>‘</w:t>
      </w:r>
      <w:r w:rsidR="00107989" w:rsidRPr="00107989">
        <w:t>gamultiobj</w:t>
      </w:r>
      <w:r w:rsidR="00107989">
        <w:t>’ MATLAB function)</w:t>
      </w:r>
      <w:r>
        <w:t>.  The difference between a GA and a MOGA is that a MOGA optimizes t</w:t>
      </w:r>
      <w:r w:rsidR="00107989">
        <w:t>wo</w:t>
      </w:r>
      <w:r w:rsidR="00A12639">
        <w:t xml:space="preserve"> or more</w:t>
      </w:r>
      <w:r w:rsidR="00107989">
        <w:t xml:space="preserve"> objective functions </w:t>
      </w:r>
      <w:r w:rsidR="00C00B35">
        <w:t>simultaneously</w:t>
      </w:r>
      <w:r w:rsidR="004A3658">
        <w:t xml:space="preserve"> (in our case phi and theta).  The MOGA finds what we believe is close to the global minima.  We refine that set of rates through a GA using </w:t>
      </w:r>
      <w:r w:rsidR="00D313ED">
        <w:t>M</w:t>
      </w:r>
      <w:r w:rsidR="006923C9">
        <w:t>A</w:t>
      </w:r>
      <w:r w:rsidR="004A3658">
        <w:t>4 as the objective function to try to remove any bias introduced from the possible error in the k</w:t>
      </w:r>
      <w:r w:rsidR="004A3658" w:rsidRPr="004A3658">
        <w:rPr>
          <w:vertAlign w:val="subscript"/>
        </w:rPr>
        <w:t>obs</w:t>
      </w:r>
      <w:r w:rsidR="004A3658">
        <w:t xml:space="preserve"> determined from NLLS curve fitting.</w:t>
      </w:r>
    </w:p>
    <w:p w:rsidR="00A642F5" w:rsidRDefault="00A642F5" w:rsidP="00356F4E"/>
    <w:p w:rsidR="00A642F5" w:rsidRDefault="00A642F5" w:rsidP="00A642F5">
      <w:pPr>
        <w:spacing w:line="480" w:lineRule="auto"/>
        <w:outlineLvl w:val="0"/>
        <w:rPr>
          <w:b/>
        </w:rPr>
      </w:pPr>
      <w:r w:rsidRPr="00B56E8C">
        <w:rPr>
          <w:b/>
        </w:rPr>
        <w:t>Error/method Comparison:</w:t>
      </w:r>
    </w:p>
    <w:p w:rsidR="00A642F5" w:rsidRDefault="00A642F5" w:rsidP="00A642F5">
      <w:pPr>
        <w:spacing w:line="480" w:lineRule="auto"/>
      </w:pPr>
      <w:r>
        <w:t xml:space="preserve">Assessing the accuracy of a given model is a non-trivial problem.  As previously mentioned we used SSR as the goodness of fit metric to see how well a given kinetic scheme could simulate our experimental data.  Different kinetic models were compared both visually and by SSR.  There was no significant improvement by having more than six states in a given kinetic model or by adding additional transitions between states.  Repeating the analysis work flow, see supplemental flowchart, for a given kinetic model did not appreciably change any of the individual rate constants.  </w:t>
      </w:r>
    </w:p>
    <w:p w:rsidR="00A642F5" w:rsidRDefault="00A642F5" w:rsidP="00A642F5">
      <w:pPr>
        <w:spacing w:line="480" w:lineRule="auto"/>
      </w:pPr>
      <w:r>
        <w:t xml:space="preserve">Some rate constants can be changed without having an effect on goodness of fit.  This happens when there is no upper or lower limit for how fast a rate is, or when a transition state can reach equilibrium on </w:t>
      </w:r>
      <w:r>
        <w:lastRenderedPageBreak/>
        <w:t>a much faster timescale then the subsequent step.  In our kinetic scheme the rates associated with steps 1 and 3 achieve equilibrium on a faster timescale than the steps following them so as long as their rate constants can compose the apparent equilibrium constants K</w:t>
      </w:r>
      <w:r>
        <w:rPr>
          <w:vertAlign w:val="subscript"/>
        </w:rPr>
        <w:t>1</w:t>
      </w:r>
      <w:r>
        <w:t xml:space="preserve"> and K</w:t>
      </w:r>
      <w:r>
        <w:rPr>
          <w:vertAlign w:val="subscript"/>
        </w:rPr>
        <w:t>3</w:t>
      </w:r>
      <w:r>
        <w:t>, there is no upper limit on how fast the rates are.  To find the lower limit we simply calculate the SSR for increasingly slower rate constants until the goodness of fit becomes worse.</w:t>
      </w:r>
    </w:p>
    <w:p w:rsidR="00A642F5" w:rsidRDefault="00A642F5" w:rsidP="00A642F5">
      <w:pPr>
        <w:spacing w:line="480" w:lineRule="auto"/>
      </w:pPr>
      <w:r>
        <w:t xml:space="preserve">The last step is to check to see if the molar fluorescence intensities are unique.  As shown in equation P5, when the concentration matrix, C, is multiplied by the vector of molar fluorescence intensities, F, it should equal the experimental data.  A potential problem of relying on linear least squares or NLLS to solve for F is they only supply a single solution.  In the event that the solution is not unique (if multiple vectors of F can adequately fit the data) we utilized MATLAB’s native particle swarm algorithm, “particleswarm”, to determine if there were multiple molar fluorescence values that could adequately fit the data.  The algorithm was run independently 100 times on each data set (Each 2AP labeled RNA with a specific ion at all concentration) to ensure proper sampling.  For all three ion types and 2AP labeled constructs we found that all solutions were in fact unique.  </w:t>
      </w:r>
    </w:p>
    <w:p w:rsidR="00A642F5" w:rsidRDefault="00A642F5" w:rsidP="00356F4E"/>
    <w:p w:rsidR="00356F4E" w:rsidRDefault="00356F4E" w:rsidP="00356F4E">
      <w:pPr>
        <w:keepNext/>
        <w:spacing w:line="480" w:lineRule="auto"/>
      </w:pPr>
      <w:r>
        <w:rPr>
          <w:noProof/>
        </w:rPr>
        <w:lastRenderedPageBreak/>
        <w:drawing>
          <wp:inline distT="0" distB="0" distL="0" distR="0" wp14:anchorId="7BD20329" wp14:editId="3D586739">
            <wp:extent cx="3462205" cy="4314233"/>
            <wp:effectExtent l="0" t="0" r="5080" b="0"/>
            <wp:docPr id="3" name="Picture 3" descr="Z:\Robb\My publications\GAC divalents\Images\Mg5.2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Robb\My publications\GAC divalents\Images\Mg5.20.80.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218" b="4727"/>
                    <a:stretch/>
                  </pic:blipFill>
                  <pic:spPr bwMode="auto">
                    <a:xfrm>
                      <a:off x="0" y="0"/>
                      <a:ext cx="3467968" cy="4321415"/>
                    </a:xfrm>
                    <a:prstGeom prst="rect">
                      <a:avLst/>
                    </a:prstGeom>
                    <a:noFill/>
                    <a:ln>
                      <a:noFill/>
                    </a:ln>
                    <a:extLst>
                      <a:ext uri="{53640926-AAD7-44D8-BBD7-CCE9431645EC}">
                        <a14:shadowObscured xmlns:a14="http://schemas.microsoft.com/office/drawing/2010/main"/>
                      </a:ext>
                    </a:extLst>
                  </pic:spPr>
                </pic:pic>
              </a:graphicData>
            </a:graphic>
          </wp:inline>
        </w:drawing>
      </w:r>
    </w:p>
    <w:p w:rsidR="00AC1B16" w:rsidRDefault="00211D21" w:rsidP="002209CD">
      <w:pPr>
        <w:keepNext/>
      </w:pPr>
      <w:r>
        <w:t>Figure S6A. Stopped-flow fluorescence data traces of 2AP-RNAs in MgCl</w:t>
      </w:r>
      <w:r w:rsidRPr="00211D21">
        <w:rPr>
          <w:vertAlign w:val="subscript"/>
        </w:rPr>
        <w:t>2</w:t>
      </w:r>
      <w:r>
        <w:t>. Three-exponential fits (black) and six-state fits (red).  Top: 5 mM MgCl</w:t>
      </w:r>
      <w:r w:rsidRPr="00211D21">
        <w:rPr>
          <w:vertAlign w:val="subscript"/>
        </w:rPr>
        <w:t>2</w:t>
      </w:r>
      <w:r>
        <w:t>, mid: 20 mM MgCl</w:t>
      </w:r>
      <w:r w:rsidRPr="00211D21">
        <w:rPr>
          <w:vertAlign w:val="subscript"/>
        </w:rPr>
        <w:t>2</w:t>
      </w:r>
      <w:r>
        <w:t>, Bottom: 80 mM MgCl</w:t>
      </w:r>
      <w:r w:rsidRPr="00211D21">
        <w:rPr>
          <w:vertAlign w:val="subscript"/>
        </w:rPr>
        <w:t>2</w:t>
      </w:r>
      <w:r>
        <w:t xml:space="preserve">. </w:t>
      </w:r>
      <w:r w:rsidR="00AC1B16">
        <w:t>1061 blue, 1067</w:t>
      </w:r>
      <w:r w:rsidR="00AC1B16" w:rsidRPr="00AC1B16">
        <w:t xml:space="preserve"> </w:t>
      </w:r>
      <w:r w:rsidR="00AC1B16">
        <w:t>green, 1069 lavender,1070 yellow, and 1095 grey. [GAC] = 100 nM. 100 mM KCl, 10 mM sodium cacodylate pH 6.5, 22</w:t>
      </w:r>
      <w:r w:rsidR="00AC1B16">
        <w:rPr>
          <w:rFonts w:cstheme="minorHAnsi"/>
        </w:rPr>
        <w:t>°</w:t>
      </w:r>
      <w:r w:rsidR="00AC1B16">
        <w:t xml:space="preserve"> C. </w:t>
      </w:r>
    </w:p>
    <w:p w:rsidR="00AC1B16" w:rsidRDefault="00AC1B16">
      <w:r>
        <w:br w:type="page"/>
      </w:r>
    </w:p>
    <w:p w:rsidR="00211D21" w:rsidRDefault="00356F4E" w:rsidP="008C1B47">
      <w:pPr>
        <w:spacing w:line="480" w:lineRule="auto"/>
      </w:pPr>
      <w:r>
        <w:rPr>
          <w:noProof/>
        </w:rPr>
        <w:lastRenderedPageBreak/>
        <w:drawing>
          <wp:inline distT="0" distB="0" distL="0" distR="0" wp14:anchorId="4AE60E16" wp14:editId="2AE67E73">
            <wp:extent cx="4130898" cy="5124450"/>
            <wp:effectExtent l="0" t="0" r="3175" b="0"/>
            <wp:docPr id="2" name="Picture 2" descr="Z:\Robb\My publications\GAC divalents\Images\Ca10.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obb\My publications\GAC divalents\Images\Ca10.20.50.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734" b="4600"/>
                    <a:stretch/>
                  </pic:blipFill>
                  <pic:spPr bwMode="auto">
                    <a:xfrm>
                      <a:off x="0" y="0"/>
                      <a:ext cx="4133360" cy="5127504"/>
                    </a:xfrm>
                    <a:prstGeom prst="rect">
                      <a:avLst/>
                    </a:prstGeom>
                    <a:noFill/>
                    <a:ln>
                      <a:noFill/>
                    </a:ln>
                    <a:extLst>
                      <a:ext uri="{53640926-AAD7-44D8-BBD7-CCE9431645EC}">
                        <a14:shadowObscured xmlns:a14="http://schemas.microsoft.com/office/drawing/2010/main"/>
                      </a:ext>
                    </a:extLst>
                  </pic:spPr>
                </pic:pic>
              </a:graphicData>
            </a:graphic>
          </wp:inline>
        </w:drawing>
      </w:r>
    </w:p>
    <w:p w:rsidR="00211D21" w:rsidRDefault="00211D21" w:rsidP="002209CD">
      <w:pPr>
        <w:keepNext/>
      </w:pPr>
      <w:r>
        <w:t>Figure S6</w:t>
      </w:r>
      <w:r w:rsidR="00AC1B16">
        <w:t>B</w:t>
      </w:r>
      <w:r>
        <w:t xml:space="preserve">. Stopped-flow fluorescence data traces of 2AP-RNAs in </w:t>
      </w:r>
      <w:r w:rsidR="00AC1B16">
        <w:t>Ca</w:t>
      </w:r>
      <w:r>
        <w:t>Cl</w:t>
      </w:r>
      <w:r w:rsidRPr="00211D21">
        <w:rPr>
          <w:vertAlign w:val="subscript"/>
        </w:rPr>
        <w:t>2</w:t>
      </w:r>
      <w:r>
        <w:t xml:space="preserve">. Three-exponential fits (black) and six-state fits (red).  Top: </w:t>
      </w:r>
      <w:r w:rsidR="00AC1B16">
        <w:t xml:space="preserve">Ca 10 </w:t>
      </w:r>
      <w:r>
        <w:t>mM MgCl</w:t>
      </w:r>
      <w:r w:rsidRPr="00211D21">
        <w:rPr>
          <w:vertAlign w:val="subscript"/>
        </w:rPr>
        <w:t>2</w:t>
      </w:r>
      <w:r>
        <w:t>, mid: 20 mM</w:t>
      </w:r>
      <w:r w:rsidR="00AC1B16">
        <w:t xml:space="preserve"> Ca</w:t>
      </w:r>
      <w:r>
        <w:t>Cl</w:t>
      </w:r>
      <w:r w:rsidRPr="00211D21">
        <w:rPr>
          <w:vertAlign w:val="subscript"/>
        </w:rPr>
        <w:t>2</w:t>
      </w:r>
      <w:r>
        <w:t xml:space="preserve">, Bottom: </w:t>
      </w:r>
      <w:r w:rsidR="00AC1B16">
        <w:t>5</w:t>
      </w:r>
      <w:r>
        <w:t xml:space="preserve">0 </w:t>
      </w:r>
      <w:r w:rsidR="00AC1B16">
        <w:t>mM Ca</w:t>
      </w:r>
      <w:r>
        <w:t>Cl</w:t>
      </w:r>
      <w:r w:rsidRPr="00211D21">
        <w:rPr>
          <w:vertAlign w:val="subscript"/>
        </w:rPr>
        <w:t>2</w:t>
      </w:r>
      <w:r>
        <w:t xml:space="preserve">. </w:t>
      </w:r>
      <w:r w:rsidR="00AC1B16">
        <w:t>1061 in blue, 1067 in green, 1069 in lavender,1070 in yellow, and 1095 in grey.</w:t>
      </w:r>
      <w:r>
        <w:t xml:space="preserve"> [GAC] = 100 nM. 100 mM KCl, 10 mM sodium cacodylate pH 6.5, 22</w:t>
      </w:r>
      <w:r>
        <w:rPr>
          <w:rFonts w:cstheme="minorHAnsi"/>
        </w:rPr>
        <w:t>°</w:t>
      </w:r>
      <w:r>
        <w:t xml:space="preserve"> C.</w:t>
      </w:r>
    </w:p>
    <w:p w:rsidR="00211D21" w:rsidRDefault="00211D21" w:rsidP="008C1B47">
      <w:pPr>
        <w:spacing w:line="480" w:lineRule="auto"/>
      </w:pPr>
    </w:p>
    <w:p w:rsidR="00B20FC9" w:rsidRDefault="00356F4E" w:rsidP="008C1B47">
      <w:pPr>
        <w:spacing w:line="480" w:lineRule="auto"/>
      </w:pPr>
      <w:r>
        <w:rPr>
          <w:noProof/>
        </w:rPr>
        <w:lastRenderedPageBreak/>
        <w:drawing>
          <wp:inline distT="0" distB="0" distL="0" distR="0" wp14:anchorId="6E0F1118" wp14:editId="65215C01">
            <wp:extent cx="4204126" cy="5181600"/>
            <wp:effectExtent l="0" t="0" r="6350" b="0"/>
            <wp:docPr id="1" name="Picture 1" descr="Z:\Robb\My publications\GAC divalents\Images\Sr10.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obb\My publications\GAC divalents\Images\Sr10.20.50.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061" b="5832"/>
                    <a:stretch/>
                  </pic:blipFill>
                  <pic:spPr bwMode="auto">
                    <a:xfrm>
                      <a:off x="0" y="0"/>
                      <a:ext cx="4207201" cy="5185390"/>
                    </a:xfrm>
                    <a:prstGeom prst="rect">
                      <a:avLst/>
                    </a:prstGeom>
                    <a:noFill/>
                    <a:ln>
                      <a:noFill/>
                    </a:ln>
                    <a:extLst>
                      <a:ext uri="{53640926-AAD7-44D8-BBD7-CCE9431645EC}">
                        <a14:shadowObscured xmlns:a14="http://schemas.microsoft.com/office/drawing/2010/main"/>
                      </a:ext>
                    </a:extLst>
                  </pic:spPr>
                </pic:pic>
              </a:graphicData>
            </a:graphic>
          </wp:inline>
        </w:drawing>
      </w:r>
    </w:p>
    <w:p w:rsidR="00211D21" w:rsidRDefault="00211D21" w:rsidP="002209CD">
      <w:pPr>
        <w:keepNext/>
      </w:pPr>
      <w:r>
        <w:t>Figure S6C. Stopped-flow fluorescence data traces of 2AP-RNAs in SrCl</w:t>
      </w:r>
      <w:r w:rsidRPr="00211D21">
        <w:rPr>
          <w:vertAlign w:val="subscript"/>
        </w:rPr>
        <w:t>2</w:t>
      </w:r>
      <w:r>
        <w:t>. Three-exponential fits (black) and six-state fits (red).  Top:</w:t>
      </w:r>
      <w:r w:rsidR="00AC1B16">
        <w:t xml:space="preserve"> 10 mM Sr</w:t>
      </w:r>
      <w:r>
        <w:t>Cl</w:t>
      </w:r>
      <w:r w:rsidRPr="00211D21">
        <w:rPr>
          <w:vertAlign w:val="subscript"/>
        </w:rPr>
        <w:t>2</w:t>
      </w:r>
      <w:r>
        <w:t>, mid: 20 mM</w:t>
      </w:r>
      <w:r w:rsidR="00AC1B16">
        <w:t xml:space="preserve"> Sr</w:t>
      </w:r>
      <w:r>
        <w:t>Cl</w:t>
      </w:r>
      <w:r w:rsidRPr="00211D21">
        <w:rPr>
          <w:vertAlign w:val="subscript"/>
        </w:rPr>
        <w:t>2</w:t>
      </w:r>
      <w:r>
        <w:t xml:space="preserve">, Bottom: </w:t>
      </w:r>
      <w:r w:rsidR="00AC1B16">
        <w:t>5</w:t>
      </w:r>
      <w:r>
        <w:t xml:space="preserve">0 </w:t>
      </w:r>
      <w:r w:rsidR="00AC1B16">
        <w:t>mM Sr</w:t>
      </w:r>
      <w:r>
        <w:t>Cl</w:t>
      </w:r>
      <w:r w:rsidRPr="00211D21">
        <w:rPr>
          <w:vertAlign w:val="subscript"/>
        </w:rPr>
        <w:t>2</w:t>
      </w:r>
      <w:r>
        <w:t xml:space="preserve">. </w:t>
      </w:r>
      <w:r w:rsidR="00AC1B16">
        <w:t xml:space="preserve">1061 blue, 1067 green, 1069 lavender,1070 yellow, and 1095 gray. </w:t>
      </w:r>
      <w:r>
        <w:t>[GAC] = 100 nM. 100 mM KCl, 10 mM sodium cacodylate pH 6.5, 22</w:t>
      </w:r>
      <w:r>
        <w:rPr>
          <w:rFonts w:cstheme="minorHAnsi"/>
        </w:rPr>
        <w:t>°</w:t>
      </w:r>
      <w:r>
        <w:t xml:space="preserve"> C.</w:t>
      </w:r>
    </w:p>
    <w:p w:rsidR="00211D21" w:rsidRDefault="00211D21" w:rsidP="008C1B47">
      <w:pPr>
        <w:spacing w:line="480" w:lineRule="auto"/>
      </w:pPr>
    </w:p>
    <w:p w:rsidR="00B20FC9" w:rsidRDefault="00B20FC9" w:rsidP="00B20FC9">
      <w:pPr>
        <w:rPr>
          <w:rFonts w:ascii="Arial" w:hAnsi="Arial" w:cs="Arial"/>
        </w:rPr>
      </w:pPr>
      <w:r>
        <w:rPr>
          <w:rFonts w:ascii="Arial" w:hAnsi="Arial" w:cs="Arial"/>
          <w:noProof/>
        </w:rPr>
        <w:lastRenderedPageBreak/>
        <w:drawing>
          <wp:inline distT="0" distB="0" distL="0" distR="0" wp14:anchorId="1A7176CD" wp14:editId="48BB849A">
            <wp:extent cx="5943600" cy="5038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loop data traces.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5038090"/>
                    </a:xfrm>
                    <a:prstGeom prst="rect">
                      <a:avLst/>
                    </a:prstGeom>
                  </pic:spPr>
                </pic:pic>
              </a:graphicData>
            </a:graphic>
          </wp:inline>
        </w:drawing>
      </w:r>
    </w:p>
    <w:p w:rsidR="00B20FC9" w:rsidRDefault="00AC1B16" w:rsidP="00B20FC9">
      <w:pPr>
        <w:rPr>
          <w:rFonts w:ascii="Arial" w:hAnsi="Arial" w:cs="Arial"/>
        </w:rPr>
      </w:pPr>
      <w:r>
        <w:rPr>
          <w:rFonts w:ascii="Arial" w:hAnsi="Arial" w:cs="Arial"/>
        </w:rPr>
        <w:t>Figure S7</w:t>
      </w:r>
      <w:r w:rsidR="00B20FC9">
        <w:rPr>
          <w:rFonts w:ascii="Arial" w:hAnsi="Arial" w:cs="Arial"/>
        </w:rPr>
        <w:t>: Fluorescence time courses for (columns from left to right) AP1067, AP1069, and AP1070 at 20° C.  The rows from top to bottom show mixing with different divalent ions Mg</w:t>
      </w:r>
      <w:r w:rsidR="00B20FC9">
        <w:rPr>
          <w:rFonts w:ascii="Arial" w:hAnsi="Arial" w:cs="Arial"/>
          <w:vertAlign w:val="superscript"/>
        </w:rPr>
        <w:t>2+</w:t>
      </w:r>
      <w:r w:rsidR="00B20FC9">
        <w:rPr>
          <w:rFonts w:ascii="Arial" w:hAnsi="Arial" w:cs="Arial"/>
        </w:rPr>
        <w:t>, Ca</w:t>
      </w:r>
      <w:r w:rsidR="00B20FC9">
        <w:rPr>
          <w:rFonts w:ascii="Arial" w:hAnsi="Arial" w:cs="Arial"/>
          <w:vertAlign w:val="superscript"/>
        </w:rPr>
        <w:t>2+</w:t>
      </w:r>
      <w:r w:rsidR="00B20FC9">
        <w:rPr>
          <w:rFonts w:ascii="Arial" w:hAnsi="Arial" w:cs="Arial"/>
        </w:rPr>
        <w:t xml:space="preserve"> and Sr</w:t>
      </w:r>
      <w:r w:rsidR="00B20FC9">
        <w:rPr>
          <w:rFonts w:ascii="Arial" w:hAnsi="Arial" w:cs="Arial"/>
          <w:vertAlign w:val="superscript"/>
        </w:rPr>
        <w:t>2+</w:t>
      </w:r>
      <w:r w:rsidR="00B20FC9">
        <w:rPr>
          <w:rFonts w:ascii="Arial" w:hAnsi="Arial" w:cs="Arial"/>
        </w:rPr>
        <w:t>. Time courses are color coded from blue to red in increasing concentration of divalent ion (see main text). Time is reported as 10</w:t>
      </w:r>
      <w:r w:rsidR="00B20FC9">
        <w:rPr>
          <w:rFonts w:ascii="Arial" w:hAnsi="Arial" w:cs="Arial"/>
          <w:vertAlign w:val="superscript"/>
        </w:rPr>
        <w:t>x</w:t>
      </w:r>
      <w:r w:rsidR="00B20FC9">
        <w:rPr>
          <w:rFonts w:ascii="Arial" w:hAnsi="Arial" w:cs="Arial"/>
        </w:rPr>
        <w:t>.  ‘Fluorescence initial’ is fluorescence intensity of the RNA without divalent ion (i.e. in its secondary structure). The first measurement occurs ~1 ms after mixing of RNA with divalent ion, so this is the start of the reported trace.</w:t>
      </w:r>
    </w:p>
    <w:p w:rsidR="00B20FC9" w:rsidRDefault="00B20FC9" w:rsidP="00B20FC9">
      <w:pPr>
        <w:spacing w:line="480" w:lineRule="auto"/>
        <w:rPr>
          <w:rFonts w:ascii="Calibri" w:hAnsi="Calibri" w:cs="Times New Roman"/>
          <w:noProof/>
        </w:rPr>
      </w:pPr>
    </w:p>
    <w:p w:rsidR="00B20FC9" w:rsidRDefault="00B20FC9" w:rsidP="00B20FC9">
      <w:pPr>
        <w:spacing w:line="480" w:lineRule="auto"/>
        <w:rPr>
          <w:noProof/>
        </w:rPr>
      </w:pPr>
      <w:r>
        <w:rPr>
          <w:noProof/>
        </w:rPr>
        <w:lastRenderedPageBreak/>
        <w:drawing>
          <wp:inline distT="0" distB="0" distL="0" distR="0" wp14:anchorId="7EB34DEF" wp14:editId="3FC1D198">
            <wp:extent cx="5715000" cy="4933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4933950"/>
                    </a:xfrm>
                    <a:prstGeom prst="rect">
                      <a:avLst/>
                    </a:prstGeom>
                    <a:noFill/>
                    <a:ln>
                      <a:noFill/>
                    </a:ln>
                  </pic:spPr>
                </pic:pic>
              </a:graphicData>
            </a:graphic>
          </wp:inline>
        </w:drawing>
      </w:r>
    </w:p>
    <w:p w:rsidR="00B20FC9" w:rsidRDefault="006F05EB" w:rsidP="00B20FC9">
      <w:pPr>
        <w:rPr>
          <w:rFonts w:ascii="Arial" w:hAnsi="Arial" w:cs="Arial"/>
        </w:rPr>
      </w:pPr>
      <w:r>
        <w:rPr>
          <w:rFonts w:ascii="Arial" w:hAnsi="Arial" w:cs="Arial"/>
        </w:rPr>
        <w:t>Figure S8</w:t>
      </w:r>
      <w:r w:rsidR="00B20FC9">
        <w:rPr>
          <w:rFonts w:ascii="Arial" w:hAnsi="Arial" w:cs="Arial"/>
        </w:rPr>
        <w:t>: Fluorescence time courses for (columns from left to right) AP1061, AP1089, and AP1095 at 20° C.  The rows from top to bottom show mixing with different divalent ions Mg</w:t>
      </w:r>
      <w:r w:rsidR="00B20FC9">
        <w:rPr>
          <w:rFonts w:ascii="Arial" w:hAnsi="Arial" w:cs="Arial"/>
          <w:vertAlign w:val="superscript"/>
        </w:rPr>
        <w:t>2+</w:t>
      </w:r>
      <w:r w:rsidR="00B20FC9">
        <w:rPr>
          <w:rFonts w:ascii="Arial" w:hAnsi="Arial" w:cs="Arial"/>
        </w:rPr>
        <w:t>, Ca</w:t>
      </w:r>
      <w:r w:rsidR="00B20FC9">
        <w:rPr>
          <w:rFonts w:ascii="Arial" w:hAnsi="Arial" w:cs="Arial"/>
          <w:vertAlign w:val="superscript"/>
        </w:rPr>
        <w:t>2+</w:t>
      </w:r>
      <w:r w:rsidR="00B20FC9">
        <w:rPr>
          <w:rFonts w:ascii="Arial" w:hAnsi="Arial" w:cs="Arial"/>
        </w:rPr>
        <w:t xml:space="preserve"> and Sr</w:t>
      </w:r>
      <w:r w:rsidR="00B20FC9">
        <w:rPr>
          <w:rFonts w:ascii="Arial" w:hAnsi="Arial" w:cs="Arial"/>
          <w:vertAlign w:val="superscript"/>
        </w:rPr>
        <w:t>2+</w:t>
      </w:r>
      <w:r w:rsidR="00B20FC9">
        <w:rPr>
          <w:rFonts w:ascii="Arial" w:hAnsi="Arial" w:cs="Arial"/>
        </w:rPr>
        <w:t>.  Time courses are color coded from blue to red in increasing concentration of divalent ion (see main text). Time is reported as 10</w:t>
      </w:r>
      <w:r w:rsidR="00B20FC9">
        <w:rPr>
          <w:rFonts w:ascii="Arial" w:hAnsi="Arial" w:cs="Arial"/>
          <w:vertAlign w:val="superscript"/>
        </w:rPr>
        <w:t>x</w:t>
      </w:r>
      <w:r w:rsidR="00B20FC9">
        <w:rPr>
          <w:rFonts w:ascii="Arial" w:hAnsi="Arial" w:cs="Arial"/>
        </w:rPr>
        <w:t>. ‘Fluorescence initial’ is fluorescence intensity of the RNA without divalent ion (i.e. in its secondary structure). The first measurement occurs ~1 ms after mixing of RNA with divalent ion, so this is the start of the reported trace.</w:t>
      </w:r>
    </w:p>
    <w:p w:rsidR="00026887" w:rsidRDefault="006F05EB" w:rsidP="002209CD">
      <w:r>
        <w:rPr>
          <w:noProof/>
        </w:rPr>
        <w:lastRenderedPageBreak/>
        <w:drawing>
          <wp:inline distT="0" distB="0" distL="0" distR="0" wp14:anchorId="5B8EB3CD" wp14:editId="0C949A70">
            <wp:extent cx="3340435" cy="4905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3668" cy="4910123"/>
                    </a:xfrm>
                    <a:prstGeom prst="rect">
                      <a:avLst/>
                    </a:prstGeom>
                    <a:noFill/>
                    <a:ln>
                      <a:noFill/>
                    </a:ln>
                  </pic:spPr>
                </pic:pic>
              </a:graphicData>
            </a:graphic>
          </wp:inline>
        </w:drawing>
      </w:r>
    </w:p>
    <w:p w:rsidR="006F05EB" w:rsidRDefault="006F05EB" w:rsidP="002209CD">
      <w:r>
        <w:t>Figure S9. The concentrations of each state in the folding pathway of the GAC RNA calculated with rate constants in table 1..  States 2</w:t>
      </w:r>
      <w:r>
        <w:rPr>
          <w:rFonts w:cstheme="minorHAnsi"/>
        </w:rPr>
        <w:t>°</w:t>
      </w:r>
      <w:r>
        <w:t>, I1, I2, I3, I4 and 3</w:t>
      </w:r>
      <w:r>
        <w:rPr>
          <w:rFonts w:cstheme="minorHAnsi"/>
        </w:rPr>
        <w:t>°</w:t>
      </w:r>
      <w:r>
        <w:t>, are black, red, blue, green, purple and yellow respectively.  Dashed lines are after mixing with 5 mM ion, and straight lines are after mixing with 100 mM ion.  Mg, Ca,Sr plots are shown are shown top to bottom.</w:t>
      </w:r>
    </w:p>
    <w:p w:rsidR="001B29DE" w:rsidRDefault="001B29DE" w:rsidP="002209CD"/>
    <w:p w:rsidR="001B29DE" w:rsidRPr="001B29DE" w:rsidRDefault="001B29DE" w:rsidP="001B29DE">
      <w:pPr>
        <w:widowControl w:val="0"/>
        <w:autoSpaceDE w:val="0"/>
        <w:autoSpaceDN w:val="0"/>
        <w:adjustRightInd w:val="0"/>
        <w:spacing w:line="240" w:lineRule="auto"/>
        <w:rPr>
          <w:rFonts w:ascii="Calibri" w:hAnsi="Calibri" w:cs="Calibri"/>
          <w:noProof/>
          <w:szCs w:val="24"/>
        </w:rPr>
      </w:pPr>
      <w:r>
        <w:fldChar w:fldCharType="begin" w:fldLock="1"/>
      </w:r>
      <w:r>
        <w:instrText xml:space="preserve">ADDIN Mendeley Bibliography CSL_BIBLIOGRAPHY </w:instrText>
      </w:r>
      <w:r>
        <w:fldChar w:fldCharType="separate"/>
      </w:r>
      <w:r w:rsidRPr="001B29DE">
        <w:rPr>
          <w:rFonts w:ascii="Calibri" w:hAnsi="Calibri" w:cs="Calibri"/>
          <w:noProof/>
          <w:szCs w:val="24"/>
        </w:rPr>
        <w:t xml:space="preserve">(1) Koch, M. H., Vachette, P., and Svergun, D. I. (2003) Small-angle scattering: a view on the properties, structures and structural changes of biological macromolecules in solution. </w:t>
      </w:r>
      <w:r w:rsidRPr="001B29DE">
        <w:rPr>
          <w:rFonts w:ascii="Calibri" w:hAnsi="Calibri" w:cs="Calibri"/>
          <w:i/>
          <w:iCs/>
          <w:noProof/>
          <w:szCs w:val="24"/>
        </w:rPr>
        <w:t>Q. Rev. Biophys.</w:t>
      </w:r>
      <w:r w:rsidRPr="001B29DE">
        <w:rPr>
          <w:rFonts w:ascii="Calibri" w:hAnsi="Calibri" w:cs="Calibri"/>
          <w:noProof/>
          <w:szCs w:val="24"/>
        </w:rPr>
        <w:t xml:space="preserve"> </w:t>
      </w:r>
      <w:r w:rsidRPr="001B29DE">
        <w:rPr>
          <w:rFonts w:ascii="Calibri" w:hAnsi="Calibri" w:cs="Calibri"/>
          <w:i/>
          <w:iCs/>
          <w:noProof/>
          <w:szCs w:val="24"/>
        </w:rPr>
        <w:t>36</w:t>
      </w:r>
      <w:r w:rsidRPr="001B29DE">
        <w:rPr>
          <w:rFonts w:ascii="Calibri" w:hAnsi="Calibri" w:cs="Calibri"/>
          <w:noProof/>
          <w:szCs w:val="24"/>
        </w:rPr>
        <w:t>, 147–227.</w:t>
      </w:r>
    </w:p>
    <w:p w:rsidR="001B29DE" w:rsidRPr="001B29DE" w:rsidRDefault="001B29DE" w:rsidP="001B29DE">
      <w:pPr>
        <w:widowControl w:val="0"/>
        <w:autoSpaceDE w:val="0"/>
        <w:autoSpaceDN w:val="0"/>
        <w:adjustRightInd w:val="0"/>
        <w:spacing w:line="240" w:lineRule="auto"/>
        <w:rPr>
          <w:rFonts w:ascii="Calibri" w:hAnsi="Calibri" w:cs="Calibri"/>
          <w:noProof/>
          <w:szCs w:val="24"/>
        </w:rPr>
      </w:pPr>
      <w:r w:rsidRPr="001B29DE">
        <w:rPr>
          <w:rFonts w:ascii="Calibri" w:hAnsi="Calibri" w:cs="Calibri"/>
          <w:noProof/>
          <w:szCs w:val="24"/>
        </w:rPr>
        <w:t xml:space="preserve">(2) Skou, S., Gillilan, R. E., and Ando, N. (2014) Synchrotron-based small-angle X-ray scattering of proteins in solution. </w:t>
      </w:r>
      <w:r w:rsidRPr="001B29DE">
        <w:rPr>
          <w:rFonts w:ascii="Calibri" w:hAnsi="Calibri" w:cs="Calibri"/>
          <w:i/>
          <w:iCs/>
          <w:noProof/>
          <w:szCs w:val="24"/>
        </w:rPr>
        <w:t>Nat. Protoc.</w:t>
      </w:r>
      <w:r w:rsidRPr="001B29DE">
        <w:rPr>
          <w:rFonts w:ascii="Calibri" w:hAnsi="Calibri" w:cs="Calibri"/>
          <w:noProof/>
          <w:szCs w:val="24"/>
        </w:rPr>
        <w:t xml:space="preserve"> </w:t>
      </w:r>
      <w:r w:rsidRPr="001B29DE">
        <w:rPr>
          <w:rFonts w:ascii="Calibri" w:hAnsi="Calibri" w:cs="Calibri"/>
          <w:i/>
          <w:iCs/>
          <w:noProof/>
          <w:szCs w:val="24"/>
        </w:rPr>
        <w:t>9</w:t>
      </w:r>
      <w:r w:rsidRPr="001B29DE">
        <w:rPr>
          <w:rFonts w:ascii="Calibri" w:hAnsi="Calibri" w:cs="Calibri"/>
          <w:noProof/>
          <w:szCs w:val="24"/>
        </w:rPr>
        <w:t>, 1727–39.</w:t>
      </w:r>
    </w:p>
    <w:p w:rsidR="001B29DE" w:rsidRPr="001B29DE" w:rsidRDefault="001B29DE" w:rsidP="001B29DE">
      <w:pPr>
        <w:widowControl w:val="0"/>
        <w:autoSpaceDE w:val="0"/>
        <w:autoSpaceDN w:val="0"/>
        <w:adjustRightInd w:val="0"/>
        <w:spacing w:line="240" w:lineRule="auto"/>
        <w:rPr>
          <w:rFonts w:ascii="Calibri" w:hAnsi="Calibri" w:cs="Calibri"/>
          <w:noProof/>
          <w:szCs w:val="24"/>
        </w:rPr>
      </w:pPr>
      <w:r w:rsidRPr="001B29DE">
        <w:rPr>
          <w:rFonts w:ascii="Calibri" w:hAnsi="Calibri" w:cs="Calibri"/>
          <w:noProof/>
          <w:szCs w:val="24"/>
        </w:rPr>
        <w:t xml:space="preserve">(3) Pabit, S. A., Qiu, X., Lamb, J. S., Li, L., Meisburger, S. P., and Pollack, L. (2009) Both helix topology and counterion distribution contribute to the more effective charge screening in dsRNA compared with dsDNA. </w:t>
      </w:r>
      <w:r w:rsidRPr="001B29DE">
        <w:rPr>
          <w:rFonts w:ascii="Calibri" w:hAnsi="Calibri" w:cs="Calibri"/>
          <w:i/>
          <w:iCs/>
          <w:noProof/>
          <w:szCs w:val="24"/>
        </w:rPr>
        <w:t>Nucleic Acids Res.</w:t>
      </w:r>
      <w:r w:rsidRPr="001B29DE">
        <w:rPr>
          <w:rFonts w:ascii="Calibri" w:hAnsi="Calibri" w:cs="Calibri"/>
          <w:noProof/>
          <w:szCs w:val="24"/>
        </w:rPr>
        <w:t xml:space="preserve"> </w:t>
      </w:r>
      <w:r w:rsidRPr="001B29DE">
        <w:rPr>
          <w:rFonts w:ascii="Calibri" w:hAnsi="Calibri" w:cs="Calibri"/>
          <w:i/>
          <w:iCs/>
          <w:noProof/>
          <w:szCs w:val="24"/>
        </w:rPr>
        <w:t>37</w:t>
      </w:r>
      <w:r w:rsidRPr="001B29DE">
        <w:rPr>
          <w:rFonts w:ascii="Calibri" w:hAnsi="Calibri" w:cs="Calibri"/>
          <w:noProof/>
          <w:szCs w:val="24"/>
        </w:rPr>
        <w:t>, 3887–96.</w:t>
      </w:r>
    </w:p>
    <w:p w:rsidR="001B29DE" w:rsidRPr="001B29DE" w:rsidRDefault="001B29DE" w:rsidP="001B29DE">
      <w:pPr>
        <w:widowControl w:val="0"/>
        <w:autoSpaceDE w:val="0"/>
        <w:autoSpaceDN w:val="0"/>
        <w:adjustRightInd w:val="0"/>
        <w:spacing w:line="240" w:lineRule="auto"/>
        <w:rPr>
          <w:rFonts w:ascii="Calibri" w:hAnsi="Calibri" w:cs="Calibri"/>
          <w:noProof/>
          <w:szCs w:val="24"/>
        </w:rPr>
      </w:pPr>
      <w:r w:rsidRPr="001B29DE">
        <w:rPr>
          <w:rFonts w:ascii="Calibri" w:hAnsi="Calibri" w:cs="Calibri"/>
          <w:noProof/>
          <w:szCs w:val="24"/>
        </w:rPr>
        <w:t xml:space="preserve">(4) Trewhella, J., Duff, A. P., Durand, D., Gabel, F., Guss, J. M., Hendrickson, W. A., Hura, G. L., Jacques, D. </w:t>
      </w:r>
      <w:r w:rsidRPr="001B29DE">
        <w:rPr>
          <w:rFonts w:ascii="Calibri" w:hAnsi="Calibri" w:cs="Calibri"/>
          <w:noProof/>
          <w:szCs w:val="24"/>
        </w:rPr>
        <w:lastRenderedPageBreak/>
        <w:t xml:space="preserve">A., Kirby, N. M., Kwan, A. H., Pérez, J., Pollack, L., Ryan, T. M., Sali, A., Schneidman-Duhovny, D., Schwede, T., Svergun, D. I., Sugiyama, M., Tainer, J. A., Vachette, P., Westbrook, J., and Whitten, A. E. (2017) 2017 publication guidelines for structural modelling of small-angle scattering data from biomolecules in solution: an update. </w:t>
      </w:r>
      <w:r w:rsidRPr="001B29DE">
        <w:rPr>
          <w:rFonts w:ascii="Calibri" w:hAnsi="Calibri" w:cs="Calibri"/>
          <w:i/>
          <w:iCs/>
          <w:noProof/>
          <w:szCs w:val="24"/>
        </w:rPr>
        <w:t>Acta Crystallogr. Sect. D, Struct. Biol.</w:t>
      </w:r>
      <w:r w:rsidRPr="001B29DE">
        <w:rPr>
          <w:rFonts w:ascii="Calibri" w:hAnsi="Calibri" w:cs="Calibri"/>
          <w:noProof/>
          <w:szCs w:val="24"/>
        </w:rPr>
        <w:t xml:space="preserve"> </w:t>
      </w:r>
      <w:r w:rsidRPr="001B29DE">
        <w:rPr>
          <w:rFonts w:ascii="Calibri" w:hAnsi="Calibri" w:cs="Calibri"/>
          <w:i/>
          <w:iCs/>
          <w:noProof/>
          <w:szCs w:val="24"/>
        </w:rPr>
        <w:t>73</w:t>
      </w:r>
      <w:r w:rsidRPr="001B29DE">
        <w:rPr>
          <w:rFonts w:ascii="Calibri" w:hAnsi="Calibri" w:cs="Calibri"/>
          <w:noProof/>
          <w:szCs w:val="24"/>
        </w:rPr>
        <w:t>, 710–728.</w:t>
      </w:r>
    </w:p>
    <w:p w:rsidR="001B29DE" w:rsidRPr="001B29DE" w:rsidRDefault="001B29DE" w:rsidP="001B29DE">
      <w:pPr>
        <w:widowControl w:val="0"/>
        <w:autoSpaceDE w:val="0"/>
        <w:autoSpaceDN w:val="0"/>
        <w:adjustRightInd w:val="0"/>
        <w:spacing w:line="240" w:lineRule="auto"/>
        <w:rPr>
          <w:rFonts w:ascii="Calibri" w:hAnsi="Calibri" w:cs="Calibri"/>
          <w:noProof/>
          <w:szCs w:val="24"/>
        </w:rPr>
      </w:pPr>
      <w:r w:rsidRPr="001B29DE">
        <w:rPr>
          <w:rFonts w:ascii="Calibri" w:hAnsi="Calibri" w:cs="Calibri"/>
          <w:noProof/>
          <w:szCs w:val="24"/>
        </w:rPr>
        <w:t xml:space="preserve">(5) Grilley, D., Misra, V., Caliskan, G., and Draper, D. E. (2007) Importance of partially unfolded conformations for Mg(2+)-induced folding of RNA tertiary structure: structural models and free energies of Mg2+ interactions. </w:t>
      </w:r>
      <w:r w:rsidRPr="001B29DE">
        <w:rPr>
          <w:rFonts w:ascii="Calibri" w:hAnsi="Calibri" w:cs="Calibri"/>
          <w:i/>
          <w:iCs/>
          <w:noProof/>
          <w:szCs w:val="24"/>
        </w:rPr>
        <w:t>Biochemistry</w:t>
      </w:r>
      <w:r w:rsidRPr="001B29DE">
        <w:rPr>
          <w:rFonts w:ascii="Calibri" w:hAnsi="Calibri" w:cs="Calibri"/>
          <w:noProof/>
          <w:szCs w:val="24"/>
        </w:rPr>
        <w:t xml:space="preserve"> </w:t>
      </w:r>
      <w:r w:rsidRPr="001B29DE">
        <w:rPr>
          <w:rFonts w:ascii="Calibri" w:hAnsi="Calibri" w:cs="Calibri"/>
          <w:i/>
          <w:iCs/>
          <w:noProof/>
          <w:szCs w:val="24"/>
        </w:rPr>
        <w:t>46</w:t>
      </w:r>
      <w:r w:rsidRPr="001B29DE">
        <w:rPr>
          <w:rFonts w:ascii="Calibri" w:hAnsi="Calibri" w:cs="Calibri"/>
          <w:noProof/>
          <w:szCs w:val="24"/>
        </w:rPr>
        <w:t>, 10266–78.</w:t>
      </w:r>
    </w:p>
    <w:p w:rsidR="001B29DE" w:rsidRPr="001B29DE" w:rsidRDefault="001B29DE" w:rsidP="001B29DE">
      <w:pPr>
        <w:widowControl w:val="0"/>
        <w:autoSpaceDE w:val="0"/>
        <w:autoSpaceDN w:val="0"/>
        <w:adjustRightInd w:val="0"/>
        <w:spacing w:line="240" w:lineRule="auto"/>
        <w:rPr>
          <w:rFonts w:ascii="Calibri" w:hAnsi="Calibri" w:cs="Calibri"/>
          <w:noProof/>
          <w:szCs w:val="24"/>
        </w:rPr>
      </w:pPr>
      <w:r w:rsidRPr="001B29DE">
        <w:rPr>
          <w:rFonts w:ascii="Calibri" w:hAnsi="Calibri" w:cs="Calibri"/>
          <w:noProof/>
          <w:szCs w:val="24"/>
        </w:rPr>
        <w:t xml:space="preserve">(6) Plumridge, A., Katz, A. M., Calvey, G. D., Elber, R., Kirmizialtin, S., and Pollack, L. (2018) Revealing the distinct folding phases of an RNA three-helix junction. </w:t>
      </w:r>
      <w:r w:rsidRPr="001B29DE">
        <w:rPr>
          <w:rFonts w:ascii="Calibri" w:hAnsi="Calibri" w:cs="Calibri"/>
          <w:i/>
          <w:iCs/>
          <w:noProof/>
          <w:szCs w:val="24"/>
        </w:rPr>
        <w:t>Nucleic Acids Res.</w:t>
      </w:r>
    </w:p>
    <w:p w:rsidR="001B29DE" w:rsidRPr="001B29DE" w:rsidRDefault="001B29DE" w:rsidP="001B29DE">
      <w:pPr>
        <w:widowControl w:val="0"/>
        <w:autoSpaceDE w:val="0"/>
        <w:autoSpaceDN w:val="0"/>
        <w:adjustRightInd w:val="0"/>
        <w:spacing w:line="240" w:lineRule="auto"/>
        <w:rPr>
          <w:rFonts w:ascii="Calibri" w:hAnsi="Calibri" w:cs="Calibri"/>
          <w:noProof/>
          <w:szCs w:val="24"/>
        </w:rPr>
      </w:pPr>
      <w:r w:rsidRPr="001B29DE">
        <w:rPr>
          <w:rFonts w:ascii="Calibri" w:hAnsi="Calibri" w:cs="Calibri"/>
          <w:noProof/>
          <w:szCs w:val="24"/>
        </w:rPr>
        <w:t xml:space="preserve">(7) Calvey, G. D., Katz, A. M., Schaffer, C. B., and Pollack, L. (2016) Mixing injector enables time-resolved crystallography with high hit rate at X-ray free electron lasers. </w:t>
      </w:r>
      <w:r w:rsidRPr="001B29DE">
        <w:rPr>
          <w:rFonts w:ascii="Calibri" w:hAnsi="Calibri" w:cs="Calibri"/>
          <w:i/>
          <w:iCs/>
          <w:noProof/>
          <w:szCs w:val="24"/>
        </w:rPr>
        <w:t>Struct. Dyn.</w:t>
      </w:r>
      <w:r w:rsidRPr="001B29DE">
        <w:rPr>
          <w:rFonts w:ascii="Calibri" w:hAnsi="Calibri" w:cs="Calibri"/>
          <w:noProof/>
          <w:szCs w:val="24"/>
        </w:rPr>
        <w:t xml:space="preserve"> </w:t>
      </w:r>
      <w:r w:rsidRPr="001B29DE">
        <w:rPr>
          <w:rFonts w:ascii="Calibri" w:hAnsi="Calibri" w:cs="Calibri"/>
          <w:i/>
          <w:iCs/>
          <w:noProof/>
          <w:szCs w:val="24"/>
        </w:rPr>
        <w:t>3</w:t>
      </w:r>
      <w:r w:rsidRPr="001B29DE">
        <w:rPr>
          <w:rFonts w:ascii="Calibri" w:hAnsi="Calibri" w:cs="Calibri"/>
          <w:noProof/>
          <w:szCs w:val="24"/>
        </w:rPr>
        <w:t>, 054301.</w:t>
      </w:r>
    </w:p>
    <w:p w:rsidR="001B29DE" w:rsidRPr="001B29DE" w:rsidRDefault="001B29DE" w:rsidP="001B29DE">
      <w:pPr>
        <w:widowControl w:val="0"/>
        <w:autoSpaceDE w:val="0"/>
        <w:autoSpaceDN w:val="0"/>
        <w:adjustRightInd w:val="0"/>
        <w:spacing w:line="240" w:lineRule="auto"/>
        <w:rPr>
          <w:rFonts w:ascii="Calibri" w:hAnsi="Calibri" w:cs="Calibri"/>
          <w:noProof/>
          <w:szCs w:val="24"/>
        </w:rPr>
      </w:pPr>
      <w:r w:rsidRPr="001B29DE">
        <w:rPr>
          <w:rFonts w:ascii="Calibri" w:hAnsi="Calibri" w:cs="Calibri"/>
          <w:noProof/>
          <w:szCs w:val="24"/>
        </w:rPr>
        <w:t xml:space="preserve">(8) Scampavia, L. D., Blankenstein, G., Ruzicka, J., and Christian, G. D. (1995) A coaxial jet mixer for rapid kinetic analysis in flow injection and flow injection cytometry. </w:t>
      </w:r>
      <w:r w:rsidRPr="001B29DE">
        <w:rPr>
          <w:rFonts w:ascii="Calibri" w:hAnsi="Calibri" w:cs="Calibri"/>
          <w:i/>
          <w:iCs/>
          <w:noProof/>
          <w:szCs w:val="24"/>
        </w:rPr>
        <w:t>Anal. Chem.</w:t>
      </w:r>
      <w:r w:rsidRPr="001B29DE">
        <w:rPr>
          <w:rFonts w:ascii="Calibri" w:hAnsi="Calibri" w:cs="Calibri"/>
          <w:noProof/>
          <w:szCs w:val="24"/>
        </w:rPr>
        <w:t xml:space="preserve"> </w:t>
      </w:r>
      <w:r w:rsidRPr="001B29DE">
        <w:rPr>
          <w:rFonts w:ascii="Calibri" w:hAnsi="Calibri" w:cs="Calibri"/>
          <w:i/>
          <w:iCs/>
          <w:noProof/>
          <w:szCs w:val="24"/>
        </w:rPr>
        <w:t>67</w:t>
      </w:r>
      <w:r w:rsidRPr="001B29DE">
        <w:rPr>
          <w:rFonts w:ascii="Calibri" w:hAnsi="Calibri" w:cs="Calibri"/>
          <w:noProof/>
          <w:szCs w:val="24"/>
        </w:rPr>
        <w:t>, 2743–9.</w:t>
      </w:r>
    </w:p>
    <w:p w:rsidR="001B29DE" w:rsidRPr="001B29DE" w:rsidRDefault="001B29DE" w:rsidP="001B29DE">
      <w:pPr>
        <w:widowControl w:val="0"/>
        <w:autoSpaceDE w:val="0"/>
        <w:autoSpaceDN w:val="0"/>
        <w:adjustRightInd w:val="0"/>
        <w:spacing w:line="240" w:lineRule="auto"/>
        <w:rPr>
          <w:rFonts w:ascii="Calibri" w:hAnsi="Calibri" w:cs="Calibri"/>
          <w:noProof/>
          <w:szCs w:val="24"/>
        </w:rPr>
      </w:pPr>
      <w:r w:rsidRPr="001B29DE">
        <w:rPr>
          <w:rFonts w:ascii="Calibri" w:hAnsi="Calibri" w:cs="Calibri"/>
          <w:noProof/>
          <w:szCs w:val="24"/>
        </w:rPr>
        <w:t xml:space="preserve">(9) Pabit, S. A., and Hagen, S. J. (2002) Laminar-flow fluid mixer for fast fluorescence kinetics studies. </w:t>
      </w:r>
      <w:r w:rsidRPr="001B29DE">
        <w:rPr>
          <w:rFonts w:ascii="Calibri" w:hAnsi="Calibri" w:cs="Calibri"/>
          <w:i/>
          <w:iCs/>
          <w:noProof/>
          <w:szCs w:val="24"/>
        </w:rPr>
        <w:t>Biophys. J.</w:t>
      </w:r>
      <w:r w:rsidRPr="001B29DE">
        <w:rPr>
          <w:rFonts w:ascii="Calibri" w:hAnsi="Calibri" w:cs="Calibri"/>
          <w:noProof/>
          <w:szCs w:val="24"/>
        </w:rPr>
        <w:t xml:space="preserve"> </w:t>
      </w:r>
      <w:r w:rsidRPr="001B29DE">
        <w:rPr>
          <w:rFonts w:ascii="Calibri" w:hAnsi="Calibri" w:cs="Calibri"/>
          <w:i/>
          <w:iCs/>
          <w:noProof/>
          <w:szCs w:val="24"/>
        </w:rPr>
        <w:t>83</w:t>
      </w:r>
      <w:r w:rsidRPr="001B29DE">
        <w:rPr>
          <w:rFonts w:ascii="Calibri" w:hAnsi="Calibri" w:cs="Calibri"/>
          <w:noProof/>
          <w:szCs w:val="24"/>
        </w:rPr>
        <w:t>, 2872–8.</w:t>
      </w:r>
    </w:p>
    <w:p w:rsidR="001B29DE" w:rsidRPr="001B29DE" w:rsidRDefault="001B29DE" w:rsidP="001B29DE">
      <w:pPr>
        <w:widowControl w:val="0"/>
        <w:autoSpaceDE w:val="0"/>
        <w:autoSpaceDN w:val="0"/>
        <w:adjustRightInd w:val="0"/>
        <w:spacing w:line="240" w:lineRule="auto"/>
        <w:rPr>
          <w:rFonts w:ascii="Calibri" w:hAnsi="Calibri" w:cs="Calibri"/>
          <w:noProof/>
        </w:rPr>
      </w:pPr>
      <w:r w:rsidRPr="001B29DE">
        <w:rPr>
          <w:rFonts w:ascii="Calibri" w:hAnsi="Calibri" w:cs="Calibri"/>
          <w:noProof/>
          <w:szCs w:val="24"/>
        </w:rPr>
        <w:t xml:space="preserve">(10) Vogt, A. D., and Di Cera, E. (2012) Conformational selection or induced fit? A critical appraisal of the kinetic mechanism. </w:t>
      </w:r>
      <w:r w:rsidRPr="001B29DE">
        <w:rPr>
          <w:rFonts w:ascii="Calibri" w:hAnsi="Calibri" w:cs="Calibri"/>
          <w:i/>
          <w:iCs/>
          <w:noProof/>
          <w:szCs w:val="24"/>
        </w:rPr>
        <w:t>Biochemistry</w:t>
      </w:r>
      <w:r w:rsidRPr="001B29DE">
        <w:rPr>
          <w:rFonts w:ascii="Calibri" w:hAnsi="Calibri" w:cs="Calibri"/>
          <w:noProof/>
          <w:szCs w:val="24"/>
        </w:rPr>
        <w:t xml:space="preserve"> </w:t>
      </w:r>
      <w:r w:rsidRPr="001B29DE">
        <w:rPr>
          <w:rFonts w:ascii="Calibri" w:hAnsi="Calibri" w:cs="Calibri"/>
          <w:i/>
          <w:iCs/>
          <w:noProof/>
          <w:szCs w:val="24"/>
        </w:rPr>
        <w:t>51</w:t>
      </w:r>
      <w:r w:rsidRPr="001B29DE">
        <w:rPr>
          <w:rFonts w:ascii="Calibri" w:hAnsi="Calibri" w:cs="Calibri"/>
          <w:noProof/>
          <w:szCs w:val="24"/>
        </w:rPr>
        <w:t>, 5894–902.</w:t>
      </w:r>
    </w:p>
    <w:p w:rsidR="001B29DE" w:rsidRPr="00906C42" w:rsidRDefault="001B29DE" w:rsidP="002209CD">
      <w:r>
        <w:fldChar w:fldCharType="end"/>
      </w:r>
    </w:p>
    <w:sectPr w:rsidR="001B29DE" w:rsidRPr="00906C42" w:rsidSect="00B027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8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05698"/>
    <w:multiLevelType w:val="hybridMultilevel"/>
    <w:tmpl w:val="2F287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80675D"/>
    <w:multiLevelType w:val="hybridMultilevel"/>
    <w:tmpl w:val="52144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F06C73"/>
    <w:multiLevelType w:val="hybridMultilevel"/>
    <w:tmpl w:val="1BEEF0A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D97F77"/>
    <w:multiLevelType w:val="hybridMultilevel"/>
    <w:tmpl w:val="AAC6D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1813"/>
    <w:rsid w:val="000103C2"/>
    <w:rsid w:val="0002029E"/>
    <w:rsid w:val="00023C97"/>
    <w:rsid w:val="0002553D"/>
    <w:rsid w:val="00026887"/>
    <w:rsid w:val="0002776B"/>
    <w:rsid w:val="000330C3"/>
    <w:rsid w:val="00050CC5"/>
    <w:rsid w:val="00065708"/>
    <w:rsid w:val="00070E84"/>
    <w:rsid w:val="000832B2"/>
    <w:rsid w:val="00086254"/>
    <w:rsid w:val="00092013"/>
    <w:rsid w:val="00096C1A"/>
    <w:rsid w:val="00096ED9"/>
    <w:rsid w:val="000A1C30"/>
    <w:rsid w:val="000B7BEE"/>
    <w:rsid w:val="000C2516"/>
    <w:rsid w:val="000C60EC"/>
    <w:rsid w:val="000D5B36"/>
    <w:rsid w:val="000D6825"/>
    <w:rsid w:val="000E2BFE"/>
    <w:rsid w:val="000E426E"/>
    <w:rsid w:val="000F6BBF"/>
    <w:rsid w:val="000F6FC7"/>
    <w:rsid w:val="001039F8"/>
    <w:rsid w:val="00107989"/>
    <w:rsid w:val="00123816"/>
    <w:rsid w:val="001249DD"/>
    <w:rsid w:val="00130618"/>
    <w:rsid w:val="00131269"/>
    <w:rsid w:val="00151A64"/>
    <w:rsid w:val="00157480"/>
    <w:rsid w:val="001619ED"/>
    <w:rsid w:val="00163BDE"/>
    <w:rsid w:val="001847ED"/>
    <w:rsid w:val="00185801"/>
    <w:rsid w:val="001A1813"/>
    <w:rsid w:val="001A63C2"/>
    <w:rsid w:val="001B29DE"/>
    <w:rsid w:val="001B3CD5"/>
    <w:rsid w:val="001E7789"/>
    <w:rsid w:val="00205FBD"/>
    <w:rsid w:val="00211D21"/>
    <w:rsid w:val="002209CD"/>
    <w:rsid w:val="00222C6D"/>
    <w:rsid w:val="00224F7E"/>
    <w:rsid w:val="002265A2"/>
    <w:rsid w:val="00245E34"/>
    <w:rsid w:val="002471DB"/>
    <w:rsid w:val="002548AD"/>
    <w:rsid w:val="00265458"/>
    <w:rsid w:val="00270C3C"/>
    <w:rsid w:val="00270EA6"/>
    <w:rsid w:val="00271435"/>
    <w:rsid w:val="00283BDC"/>
    <w:rsid w:val="00284965"/>
    <w:rsid w:val="00292F67"/>
    <w:rsid w:val="00293C60"/>
    <w:rsid w:val="002B5194"/>
    <w:rsid w:val="002B5340"/>
    <w:rsid w:val="00301A9E"/>
    <w:rsid w:val="0030693D"/>
    <w:rsid w:val="00310AC2"/>
    <w:rsid w:val="00311F46"/>
    <w:rsid w:val="003123EE"/>
    <w:rsid w:val="00322115"/>
    <w:rsid w:val="00333856"/>
    <w:rsid w:val="00345676"/>
    <w:rsid w:val="0034742E"/>
    <w:rsid w:val="00356F4E"/>
    <w:rsid w:val="003872F4"/>
    <w:rsid w:val="00397369"/>
    <w:rsid w:val="003A144A"/>
    <w:rsid w:val="003A1C31"/>
    <w:rsid w:val="003B10E8"/>
    <w:rsid w:val="003D3439"/>
    <w:rsid w:val="003D6802"/>
    <w:rsid w:val="003E1FF2"/>
    <w:rsid w:val="003F25A3"/>
    <w:rsid w:val="003F68EC"/>
    <w:rsid w:val="00416C4C"/>
    <w:rsid w:val="0041711C"/>
    <w:rsid w:val="0044272E"/>
    <w:rsid w:val="00454E57"/>
    <w:rsid w:val="0046004B"/>
    <w:rsid w:val="00483876"/>
    <w:rsid w:val="00484915"/>
    <w:rsid w:val="004A1CD9"/>
    <w:rsid w:val="004A3658"/>
    <w:rsid w:val="004B2416"/>
    <w:rsid w:val="004B6594"/>
    <w:rsid w:val="004C0157"/>
    <w:rsid w:val="004C2D30"/>
    <w:rsid w:val="004C4D45"/>
    <w:rsid w:val="004D23DC"/>
    <w:rsid w:val="004E3A54"/>
    <w:rsid w:val="004F58E8"/>
    <w:rsid w:val="004F7550"/>
    <w:rsid w:val="00507C76"/>
    <w:rsid w:val="0051068C"/>
    <w:rsid w:val="005107B8"/>
    <w:rsid w:val="005177B0"/>
    <w:rsid w:val="0052799B"/>
    <w:rsid w:val="00530205"/>
    <w:rsid w:val="00530327"/>
    <w:rsid w:val="005318E9"/>
    <w:rsid w:val="00544D7D"/>
    <w:rsid w:val="00582554"/>
    <w:rsid w:val="00591368"/>
    <w:rsid w:val="005A0616"/>
    <w:rsid w:val="005A76DB"/>
    <w:rsid w:val="005B3BB1"/>
    <w:rsid w:val="005B596C"/>
    <w:rsid w:val="005C42A5"/>
    <w:rsid w:val="005D0745"/>
    <w:rsid w:val="005D444B"/>
    <w:rsid w:val="005D7B56"/>
    <w:rsid w:val="005E646D"/>
    <w:rsid w:val="005F1571"/>
    <w:rsid w:val="00602281"/>
    <w:rsid w:val="006117B5"/>
    <w:rsid w:val="0061204E"/>
    <w:rsid w:val="00623153"/>
    <w:rsid w:val="006234EC"/>
    <w:rsid w:val="00625126"/>
    <w:rsid w:val="006261F3"/>
    <w:rsid w:val="006344C1"/>
    <w:rsid w:val="00636915"/>
    <w:rsid w:val="00645329"/>
    <w:rsid w:val="00651F22"/>
    <w:rsid w:val="00654D23"/>
    <w:rsid w:val="00662B40"/>
    <w:rsid w:val="00664B7D"/>
    <w:rsid w:val="00666674"/>
    <w:rsid w:val="00674071"/>
    <w:rsid w:val="00675DD3"/>
    <w:rsid w:val="00676709"/>
    <w:rsid w:val="006876EC"/>
    <w:rsid w:val="006923C9"/>
    <w:rsid w:val="006C7E5B"/>
    <w:rsid w:val="006D1491"/>
    <w:rsid w:val="006D150C"/>
    <w:rsid w:val="006E15F4"/>
    <w:rsid w:val="006F05EB"/>
    <w:rsid w:val="006F5A89"/>
    <w:rsid w:val="006F7559"/>
    <w:rsid w:val="00702D6F"/>
    <w:rsid w:val="007037DC"/>
    <w:rsid w:val="00724C31"/>
    <w:rsid w:val="00726E00"/>
    <w:rsid w:val="00730ED7"/>
    <w:rsid w:val="007310B7"/>
    <w:rsid w:val="00732584"/>
    <w:rsid w:val="0073358F"/>
    <w:rsid w:val="0074383E"/>
    <w:rsid w:val="007602B1"/>
    <w:rsid w:val="00765641"/>
    <w:rsid w:val="00771C7E"/>
    <w:rsid w:val="0078745F"/>
    <w:rsid w:val="007A4E8A"/>
    <w:rsid w:val="007B3811"/>
    <w:rsid w:val="007C0D36"/>
    <w:rsid w:val="007C1699"/>
    <w:rsid w:val="007D7CD8"/>
    <w:rsid w:val="007F383B"/>
    <w:rsid w:val="007F4D4E"/>
    <w:rsid w:val="008176E4"/>
    <w:rsid w:val="00836054"/>
    <w:rsid w:val="00855963"/>
    <w:rsid w:val="0087343D"/>
    <w:rsid w:val="0087409D"/>
    <w:rsid w:val="00874C22"/>
    <w:rsid w:val="00891102"/>
    <w:rsid w:val="00892E97"/>
    <w:rsid w:val="008A2FB1"/>
    <w:rsid w:val="008A39A1"/>
    <w:rsid w:val="008A49A9"/>
    <w:rsid w:val="008B7878"/>
    <w:rsid w:val="008B7BC0"/>
    <w:rsid w:val="008C1B47"/>
    <w:rsid w:val="008D1F4C"/>
    <w:rsid w:val="008D7B23"/>
    <w:rsid w:val="008F5795"/>
    <w:rsid w:val="008F77D0"/>
    <w:rsid w:val="008F7833"/>
    <w:rsid w:val="00906C42"/>
    <w:rsid w:val="00913170"/>
    <w:rsid w:val="009205B5"/>
    <w:rsid w:val="00933017"/>
    <w:rsid w:val="00950DEE"/>
    <w:rsid w:val="009741A6"/>
    <w:rsid w:val="0099482C"/>
    <w:rsid w:val="009C080C"/>
    <w:rsid w:val="009C3428"/>
    <w:rsid w:val="009C7702"/>
    <w:rsid w:val="009E1EE4"/>
    <w:rsid w:val="009E5695"/>
    <w:rsid w:val="009F60A3"/>
    <w:rsid w:val="009F7E34"/>
    <w:rsid w:val="00A06D08"/>
    <w:rsid w:val="00A10C00"/>
    <w:rsid w:val="00A12639"/>
    <w:rsid w:val="00A16230"/>
    <w:rsid w:val="00A2666C"/>
    <w:rsid w:val="00A33081"/>
    <w:rsid w:val="00A34FCB"/>
    <w:rsid w:val="00A426BE"/>
    <w:rsid w:val="00A43EAE"/>
    <w:rsid w:val="00A47A2B"/>
    <w:rsid w:val="00A613AE"/>
    <w:rsid w:val="00A61B68"/>
    <w:rsid w:val="00A61D65"/>
    <w:rsid w:val="00A642F5"/>
    <w:rsid w:val="00A72528"/>
    <w:rsid w:val="00A90EEB"/>
    <w:rsid w:val="00A935EC"/>
    <w:rsid w:val="00A9499D"/>
    <w:rsid w:val="00AA1F3E"/>
    <w:rsid w:val="00AA5371"/>
    <w:rsid w:val="00AA7874"/>
    <w:rsid w:val="00AB375A"/>
    <w:rsid w:val="00AB4E40"/>
    <w:rsid w:val="00AC1B16"/>
    <w:rsid w:val="00AC599C"/>
    <w:rsid w:val="00AD5F83"/>
    <w:rsid w:val="00AF7D04"/>
    <w:rsid w:val="00B00113"/>
    <w:rsid w:val="00B027E2"/>
    <w:rsid w:val="00B13A8F"/>
    <w:rsid w:val="00B20FC9"/>
    <w:rsid w:val="00B31656"/>
    <w:rsid w:val="00B42D2F"/>
    <w:rsid w:val="00B56E8C"/>
    <w:rsid w:val="00B64E40"/>
    <w:rsid w:val="00B668E1"/>
    <w:rsid w:val="00B76AEA"/>
    <w:rsid w:val="00B94BFC"/>
    <w:rsid w:val="00B97E8A"/>
    <w:rsid w:val="00BC6AA8"/>
    <w:rsid w:val="00BD3714"/>
    <w:rsid w:val="00BD490E"/>
    <w:rsid w:val="00BD5277"/>
    <w:rsid w:val="00BE6C05"/>
    <w:rsid w:val="00BF48B8"/>
    <w:rsid w:val="00C005EF"/>
    <w:rsid w:val="00C00B35"/>
    <w:rsid w:val="00C14178"/>
    <w:rsid w:val="00C269F9"/>
    <w:rsid w:val="00C43069"/>
    <w:rsid w:val="00C52249"/>
    <w:rsid w:val="00C554D9"/>
    <w:rsid w:val="00C55A68"/>
    <w:rsid w:val="00C76580"/>
    <w:rsid w:val="00C902C0"/>
    <w:rsid w:val="00C90D1A"/>
    <w:rsid w:val="00CA0D4B"/>
    <w:rsid w:val="00CA1D11"/>
    <w:rsid w:val="00CA75BA"/>
    <w:rsid w:val="00CB3DC3"/>
    <w:rsid w:val="00CB4CCC"/>
    <w:rsid w:val="00CE154F"/>
    <w:rsid w:val="00CE6650"/>
    <w:rsid w:val="00CF7C7D"/>
    <w:rsid w:val="00D0441F"/>
    <w:rsid w:val="00D1128A"/>
    <w:rsid w:val="00D143AC"/>
    <w:rsid w:val="00D26904"/>
    <w:rsid w:val="00D27902"/>
    <w:rsid w:val="00D313ED"/>
    <w:rsid w:val="00D33B54"/>
    <w:rsid w:val="00D41044"/>
    <w:rsid w:val="00D449A6"/>
    <w:rsid w:val="00D52E91"/>
    <w:rsid w:val="00D56F3F"/>
    <w:rsid w:val="00D63E1C"/>
    <w:rsid w:val="00D72AF5"/>
    <w:rsid w:val="00D820FC"/>
    <w:rsid w:val="00D86525"/>
    <w:rsid w:val="00D94F17"/>
    <w:rsid w:val="00DC0EF5"/>
    <w:rsid w:val="00DC3B75"/>
    <w:rsid w:val="00DC65B3"/>
    <w:rsid w:val="00DD0147"/>
    <w:rsid w:val="00DD5E2B"/>
    <w:rsid w:val="00DD742B"/>
    <w:rsid w:val="00DF245F"/>
    <w:rsid w:val="00DF2FFD"/>
    <w:rsid w:val="00DF5539"/>
    <w:rsid w:val="00E0491C"/>
    <w:rsid w:val="00E10068"/>
    <w:rsid w:val="00E130CE"/>
    <w:rsid w:val="00E15C4B"/>
    <w:rsid w:val="00E21A8A"/>
    <w:rsid w:val="00E23931"/>
    <w:rsid w:val="00E260B8"/>
    <w:rsid w:val="00E7071F"/>
    <w:rsid w:val="00E7386D"/>
    <w:rsid w:val="00E82DB4"/>
    <w:rsid w:val="00E90489"/>
    <w:rsid w:val="00EB45AA"/>
    <w:rsid w:val="00EB4666"/>
    <w:rsid w:val="00EB646A"/>
    <w:rsid w:val="00EB666D"/>
    <w:rsid w:val="00EC246F"/>
    <w:rsid w:val="00ED0DA2"/>
    <w:rsid w:val="00EE4BE3"/>
    <w:rsid w:val="00F133B6"/>
    <w:rsid w:val="00F23885"/>
    <w:rsid w:val="00F271E1"/>
    <w:rsid w:val="00F40EBC"/>
    <w:rsid w:val="00F5499B"/>
    <w:rsid w:val="00F54BD2"/>
    <w:rsid w:val="00F70403"/>
    <w:rsid w:val="00F707C7"/>
    <w:rsid w:val="00F87C2C"/>
    <w:rsid w:val="00F938A9"/>
    <w:rsid w:val="00FA7E8E"/>
    <w:rsid w:val="00FB0B14"/>
    <w:rsid w:val="00FD392C"/>
    <w:rsid w:val="00FE44D6"/>
    <w:rsid w:val="00FE4C74"/>
    <w:rsid w:val="00FF3387"/>
    <w:rsid w:val="00FF39A1"/>
    <w:rsid w:val="00FF6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1C3A4B-EA90-CA46-AABC-50159C359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284965"/>
  </w:style>
  <w:style w:type="paragraph" w:styleId="ListParagraph">
    <w:name w:val="List Paragraph"/>
    <w:basedOn w:val="Normal"/>
    <w:uiPriority w:val="34"/>
    <w:qFormat/>
    <w:rsid w:val="00BF48B8"/>
    <w:pPr>
      <w:ind w:left="720"/>
      <w:contextualSpacing/>
    </w:pPr>
  </w:style>
  <w:style w:type="character" w:styleId="HTMLCode">
    <w:name w:val="HTML Code"/>
    <w:basedOn w:val="DefaultParagraphFont"/>
    <w:uiPriority w:val="99"/>
    <w:semiHidden/>
    <w:unhideWhenUsed/>
    <w:rsid w:val="00107989"/>
    <w:rPr>
      <w:rFonts w:ascii="Courier New" w:eastAsia="Times New Roman" w:hAnsi="Courier New" w:cs="Courier New"/>
      <w:sz w:val="20"/>
      <w:szCs w:val="20"/>
    </w:rPr>
  </w:style>
  <w:style w:type="character" w:styleId="PlaceholderText">
    <w:name w:val="Placeholder Text"/>
    <w:basedOn w:val="DefaultParagraphFont"/>
    <w:uiPriority w:val="99"/>
    <w:semiHidden/>
    <w:rsid w:val="00AA1F3E"/>
    <w:rPr>
      <w:color w:val="808080"/>
    </w:rPr>
  </w:style>
  <w:style w:type="paragraph" w:styleId="BalloonText">
    <w:name w:val="Balloon Text"/>
    <w:basedOn w:val="Normal"/>
    <w:link w:val="BalloonTextChar"/>
    <w:uiPriority w:val="99"/>
    <w:semiHidden/>
    <w:unhideWhenUsed/>
    <w:rsid w:val="00AA1F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F3E"/>
    <w:rPr>
      <w:rFonts w:ascii="Tahoma" w:hAnsi="Tahoma" w:cs="Tahoma"/>
      <w:sz w:val="16"/>
      <w:szCs w:val="16"/>
    </w:rPr>
  </w:style>
  <w:style w:type="paragraph" w:styleId="Caption">
    <w:name w:val="caption"/>
    <w:basedOn w:val="Normal"/>
    <w:next w:val="Normal"/>
    <w:uiPriority w:val="35"/>
    <w:semiHidden/>
    <w:unhideWhenUsed/>
    <w:qFormat/>
    <w:rsid w:val="00356F4E"/>
    <w:pPr>
      <w:spacing w:line="240" w:lineRule="auto"/>
    </w:pPr>
    <w:rPr>
      <w:b/>
      <w:bCs/>
      <w:color w:val="4F81BD" w:themeColor="accent1"/>
      <w:sz w:val="18"/>
      <w:szCs w:val="18"/>
    </w:rPr>
  </w:style>
  <w:style w:type="table" w:styleId="TableGrid">
    <w:name w:val="Table Grid"/>
    <w:basedOn w:val="TableNormal"/>
    <w:uiPriority w:val="39"/>
    <w:rsid w:val="006C7E5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30C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94070">
      <w:bodyDiv w:val="1"/>
      <w:marLeft w:val="0"/>
      <w:marRight w:val="0"/>
      <w:marTop w:val="0"/>
      <w:marBottom w:val="0"/>
      <w:divBdr>
        <w:top w:val="none" w:sz="0" w:space="0" w:color="auto"/>
        <w:left w:val="none" w:sz="0" w:space="0" w:color="auto"/>
        <w:bottom w:val="none" w:sz="0" w:space="0" w:color="auto"/>
        <w:right w:val="none" w:sz="0" w:space="0" w:color="auto"/>
      </w:divBdr>
    </w:div>
    <w:div w:id="433667798">
      <w:bodyDiv w:val="1"/>
      <w:marLeft w:val="0"/>
      <w:marRight w:val="0"/>
      <w:marTop w:val="0"/>
      <w:marBottom w:val="0"/>
      <w:divBdr>
        <w:top w:val="none" w:sz="0" w:space="0" w:color="auto"/>
        <w:left w:val="none" w:sz="0" w:space="0" w:color="auto"/>
        <w:bottom w:val="none" w:sz="0" w:space="0" w:color="auto"/>
        <w:right w:val="none" w:sz="0" w:space="0" w:color="auto"/>
      </w:divBdr>
    </w:div>
    <w:div w:id="868185879">
      <w:bodyDiv w:val="1"/>
      <w:marLeft w:val="0"/>
      <w:marRight w:val="0"/>
      <w:marTop w:val="0"/>
      <w:marBottom w:val="0"/>
      <w:divBdr>
        <w:top w:val="none" w:sz="0" w:space="0" w:color="auto"/>
        <w:left w:val="none" w:sz="0" w:space="0" w:color="auto"/>
        <w:bottom w:val="none" w:sz="0" w:space="0" w:color="auto"/>
        <w:right w:val="none" w:sz="0" w:space="0" w:color="auto"/>
      </w:divBdr>
    </w:div>
    <w:div w:id="1063257716">
      <w:bodyDiv w:val="1"/>
      <w:marLeft w:val="0"/>
      <w:marRight w:val="0"/>
      <w:marTop w:val="0"/>
      <w:marBottom w:val="0"/>
      <w:divBdr>
        <w:top w:val="none" w:sz="0" w:space="0" w:color="auto"/>
        <w:left w:val="none" w:sz="0" w:space="0" w:color="auto"/>
        <w:bottom w:val="none" w:sz="0" w:space="0" w:color="auto"/>
        <w:right w:val="none" w:sz="0" w:space="0" w:color="auto"/>
      </w:divBdr>
      <w:divsChild>
        <w:div w:id="334962329">
          <w:marLeft w:val="0"/>
          <w:marRight w:val="0"/>
          <w:marTop w:val="0"/>
          <w:marBottom w:val="0"/>
          <w:divBdr>
            <w:top w:val="none" w:sz="0" w:space="0" w:color="auto"/>
            <w:left w:val="none" w:sz="0" w:space="0" w:color="auto"/>
            <w:bottom w:val="none" w:sz="0" w:space="0" w:color="auto"/>
            <w:right w:val="none" w:sz="0" w:space="0" w:color="auto"/>
          </w:divBdr>
          <w:divsChild>
            <w:div w:id="123157619">
              <w:marLeft w:val="0"/>
              <w:marRight w:val="0"/>
              <w:marTop w:val="0"/>
              <w:marBottom w:val="0"/>
              <w:divBdr>
                <w:top w:val="none" w:sz="0" w:space="0" w:color="auto"/>
                <w:left w:val="none" w:sz="0" w:space="0" w:color="auto"/>
                <w:bottom w:val="none" w:sz="0" w:space="0" w:color="auto"/>
                <w:right w:val="none" w:sz="0" w:space="0" w:color="auto"/>
              </w:divBdr>
            </w:div>
          </w:divsChild>
        </w:div>
        <w:div w:id="1961716615">
          <w:marLeft w:val="0"/>
          <w:marRight w:val="0"/>
          <w:marTop w:val="0"/>
          <w:marBottom w:val="0"/>
          <w:divBdr>
            <w:top w:val="none" w:sz="0" w:space="0" w:color="auto"/>
            <w:left w:val="none" w:sz="0" w:space="0" w:color="auto"/>
            <w:bottom w:val="none" w:sz="0" w:space="0" w:color="auto"/>
            <w:right w:val="none" w:sz="0" w:space="0" w:color="auto"/>
          </w:divBdr>
          <w:divsChild>
            <w:div w:id="784350599">
              <w:marLeft w:val="0"/>
              <w:marRight w:val="0"/>
              <w:marTop w:val="0"/>
              <w:marBottom w:val="0"/>
              <w:divBdr>
                <w:top w:val="none" w:sz="0" w:space="0" w:color="auto"/>
                <w:left w:val="none" w:sz="0" w:space="0" w:color="auto"/>
                <w:bottom w:val="none" w:sz="0" w:space="0" w:color="auto"/>
                <w:right w:val="none" w:sz="0" w:space="0" w:color="auto"/>
              </w:divBdr>
              <w:divsChild>
                <w:div w:id="209689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334007">
          <w:marLeft w:val="0"/>
          <w:marRight w:val="0"/>
          <w:marTop w:val="0"/>
          <w:marBottom w:val="0"/>
          <w:divBdr>
            <w:top w:val="none" w:sz="0" w:space="0" w:color="auto"/>
            <w:left w:val="none" w:sz="0" w:space="0" w:color="auto"/>
            <w:bottom w:val="none" w:sz="0" w:space="0" w:color="auto"/>
            <w:right w:val="none" w:sz="0" w:space="0" w:color="auto"/>
          </w:divBdr>
          <w:divsChild>
            <w:div w:id="500391800">
              <w:marLeft w:val="0"/>
              <w:marRight w:val="0"/>
              <w:marTop w:val="0"/>
              <w:marBottom w:val="0"/>
              <w:divBdr>
                <w:top w:val="none" w:sz="0" w:space="0" w:color="auto"/>
                <w:left w:val="none" w:sz="0" w:space="0" w:color="auto"/>
                <w:bottom w:val="none" w:sz="0" w:space="0" w:color="auto"/>
                <w:right w:val="none" w:sz="0" w:space="0" w:color="auto"/>
              </w:divBdr>
            </w:div>
            <w:div w:id="553320611">
              <w:marLeft w:val="0"/>
              <w:marRight w:val="0"/>
              <w:marTop w:val="0"/>
              <w:marBottom w:val="0"/>
              <w:divBdr>
                <w:top w:val="none" w:sz="0" w:space="0" w:color="auto"/>
                <w:left w:val="none" w:sz="0" w:space="0" w:color="auto"/>
                <w:bottom w:val="none" w:sz="0" w:space="0" w:color="auto"/>
                <w:right w:val="none" w:sz="0" w:space="0" w:color="auto"/>
              </w:divBdr>
            </w:div>
          </w:divsChild>
        </w:div>
        <w:div w:id="580411071">
          <w:marLeft w:val="0"/>
          <w:marRight w:val="0"/>
          <w:marTop w:val="0"/>
          <w:marBottom w:val="0"/>
          <w:divBdr>
            <w:top w:val="none" w:sz="0" w:space="0" w:color="auto"/>
            <w:left w:val="none" w:sz="0" w:space="0" w:color="auto"/>
            <w:bottom w:val="none" w:sz="0" w:space="0" w:color="auto"/>
            <w:right w:val="none" w:sz="0" w:space="0" w:color="auto"/>
          </w:divBdr>
          <w:divsChild>
            <w:div w:id="143133557">
              <w:marLeft w:val="0"/>
              <w:marRight w:val="0"/>
              <w:marTop w:val="0"/>
              <w:marBottom w:val="0"/>
              <w:divBdr>
                <w:top w:val="none" w:sz="0" w:space="0" w:color="auto"/>
                <w:left w:val="none" w:sz="0" w:space="0" w:color="auto"/>
                <w:bottom w:val="none" w:sz="0" w:space="0" w:color="auto"/>
                <w:right w:val="none" w:sz="0" w:space="0" w:color="auto"/>
              </w:divBdr>
              <w:divsChild>
                <w:div w:id="1854414607">
                  <w:marLeft w:val="0"/>
                  <w:marRight w:val="0"/>
                  <w:marTop w:val="0"/>
                  <w:marBottom w:val="0"/>
                  <w:divBdr>
                    <w:top w:val="none" w:sz="0" w:space="0" w:color="auto"/>
                    <w:left w:val="none" w:sz="0" w:space="0" w:color="auto"/>
                    <w:bottom w:val="none" w:sz="0" w:space="0" w:color="auto"/>
                    <w:right w:val="none" w:sz="0" w:space="0" w:color="auto"/>
                  </w:divBdr>
                  <w:divsChild>
                    <w:div w:id="212534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760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DDFBA-2F32-7244-8BC1-4FAFE098B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8232</Words>
  <Characters>46923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c:creator>
  <cp:lastModifiedBy>Microsoft Office User</cp:lastModifiedBy>
  <cp:revision>3</cp:revision>
  <cp:lastPrinted>2018-08-07T20:03:00Z</cp:lastPrinted>
  <dcterms:created xsi:type="dcterms:W3CDTF">2018-09-17T20:29:00Z</dcterms:created>
  <dcterms:modified xsi:type="dcterms:W3CDTF">2018-09-20T19:03:00Z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http://www.zotero.org/styles/biochemistry</vt:lpwstr>
  </property>
  <property fmtid="{D5CDD505-2E9C-101B-9397-08002B2CF9AE}" pid="9" name="Mendeley Recent Style Name 3_1">
    <vt:lpwstr>Biochemistry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http://www.zotero.org/styles/biochemistry</vt:lpwstr>
  </property>
  <property fmtid="{D5CDD505-2E9C-101B-9397-08002B2CF9AE}" pid="24" name="Mendeley Unique User Id_1">
    <vt:lpwstr>df19cffb-5ae5-30d5-bcdb-90703b7359aa</vt:lpwstr>
  </property>
</Properties>
</file>