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1A5FA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03D04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2F79712A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Supplemental Figure S1 (.pdf): Reproducibility and quality of </w:t>
      </w:r>
      <w:proofErr w:type="spellStart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ssRNA-seq</w:t>
      </w:r>
      <w:proofErr w:type="spellEnd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data.</w:t>
      </w:r>
    </w:p>
    <w:p w14:paraId="60F73026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Supplemental Figure S2 (.pdf): KEGG pathways enriched in the differentially expressed genes.</w:t>
      </w:r>
    </w:p>
    <w:p w14:paraId="05FEFE1F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Supplemental Figure S3 (.pdf): Transcription units associated with </w:t>
      </w:r>
      <w:proofErr w:type="spellStart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acetogenesis</w:t>
      </w:r>
      <w:proofErr w:type="spellEnd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</w:p>
    <w:p w14:paraId="22679659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Supplemental Figure S4 (.pdf): TSS identification and </w:t>
      </w:r>
      <w:r w:rsidRPr="00D03D04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Pr="00D03D04">
        <w:rPr>
          <w:rFonts w:ascii="Times New Roman" w:hAnsi="Times New Roman" w:cs="Times New Roman"/>
          <w:sz w:val="24"/>
          <w:szCs w:val="24"/>
          <w:highlight w:val="white"/>
        </w:rPr>
        <w:sym w:font="Symbol" w:char="F0A2"/>
      </w:r>
      <w:r w:rsidRPr="00D03D04">
        <w:rPr>
          <w:rFonts w:ascii="Times New Roman" w:hAnsi="Times New Roman" w:cs="Times New Roman"/>
          <w:sz w:val="24"/>
          <w:szCs w:val="24"/>
        </w:rPr>
        <w:t xml:space="preserve"> </w:t>
      </w: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Rapid Amplification of cDNA Ends (</w:t>
      </w:r>
      <w:r w:rsidRPr="00D03D04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Pr="00D03D04">
        <w:rPr>
          <w:rFonts w:ascii="Times New Roman" w:hAnsi="Times New Roman" w:cs="Times New Roman"/>
          <w:sz w:val="24"/>
          <w:szCs w:val="24"/>
          <w:highlight w:val="white"/>
        </w:rPr>
        <w:sym w:font="Symbol" w:char="F0A2"/>
      </w: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RACE) confirmation.</w:t>
      </w:r>
    </w:p>
    <w:p w14:paraId="7AFF98D0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Supplemental Figure S5 (.pdf): Determination of promoter sequences.</w:t>
      </w:r>
    </w:p>
    <w:p w14:paraId="3A966484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Supplemental Figure S6 (.pdf): Comparison of the length distributions of </w:t>
      </w:r>
      <w:r w:rsidRPr="00D03D04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Pr="00D03D04">
        <w:rPr>
          <w:rFonts w:ascii="Times New Roman" w:hAnsi="Times New Roman" w:cs="Times New Roman"/>
          <w:sz w:val="24"/>
          <w:szCs w:val="24"/>
          <w:highlight w:val="white"/>
        </w:rPr>
        <w:sym w:font="Symbol" w:char="F0A2"/>
      </w:r>
      <w:r w:rsidRPr="00D03D04">
        <w:rPr>
          <w:rFonts w:ascii="Times New Roman" w:hAnsi="Times New Roman" w:cs="Times New Roman"/>
          <w:sz w:val="24"/>
          <w:szCs w:val="24"/>
          <w:highlight w:val="white"/>
        </w:rPr>
        <w:t>-</w:t>
      </w: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UTRs.</w:t>
      </w:r>
    </w:p>
    <w:p w14:paraId="369AE6A8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Supplemental Figure S7 (.pdf): Transcriptional regulation by conditional termination.</w:t>
      </w:r>
    </w:p>
    <w:p w14:paraId="6F8F988A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Supplemental Table S1 (.pdf): General features of the </w:t>
      </w:r>
      <w:proofErr w:type="spellStart"/>
      <w:r w:rsidRPr="00D03D04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Acetobacterium</w:t>
      </w:r>
      <w:proofErr w:type="spellEnd"/>
      <w:r w:rsidRPr="00D03D04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D03D04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bakii</w:t>
      </w:r>
      <w:proofErr w:type="spellEnd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DSM 8239 genome. </w:t>
      </w:r>
    </w:p>
    <w:p w14:paraId="72DBDA58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Supplemental Table S2 (.pdf): Correction of sequence conflicts between short reads and PacBio scaffolds.</w:t>
      </w:r>
    </w:p>
    <w:p w14:paraId="775457AE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Supplemental Table S3 (.pdf): Statistics of RNA-</w:t>
      </w:r>
      <w:proofErr w:type="spellStart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Seq</w:t>
      </w:r>
      <w:proofErr w:type="spellEnd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and </w:t>
      </w:r>
      <w:proofErr w:type="spellStart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dRNA-Seq</w:t>
      </w:r>
      <w:proofErr w:type="spellEnd"/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analyses</w:t>
      </w: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</w:p>
    <w:p w14:paraId="79B495D5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Supplemental Table S4 (.</w:t>
      </w:r>
      <w:proofErr w:type="spellStart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xlsx</w:t>
      </w:r>
      <w:proofErr w:type="spellEnd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): mRNA expression profiles 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upon exposure to the different </w:t>
      </w: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growth conditions. </w:t>
      </w:r>
    </w:p>
    <w:p w14:paraId="1FE514AD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Supplemental Table S5 (.pdf): mRNA expression profile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of genes</w:t>
      </w: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of the </w:t>
      </w:r>
      <w:proofErr w:type="spellStart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acetogenesis</w:t>
      </w:r>
      <w:proofErr w:type="spellEnd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, glycolysis, and gluconeogenesis pathways.</w:t>
      </w:r>
    </w:p>
    <w:p w14:paraId="3256F3E9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Supplemental Table S6 (.</w:t>
      </w:r>
      <w:proofErr w:type="spellStart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xlsx</w:t>
      </w:r>
      <w:proofErr w:type="spellEnd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): Transcription start sites in </w:t>
      </w:r>
      <w:r w:rsidRPr="00D03D04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A. </w:t>
      </w:r>
      <w:proofErr w:type="spellStart"/>
      <w:r w:rsidRPr="00D03D04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bakii</w:t>
      </w:r>
      <w:proofErr w:type="spellEnd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</w:p>
    <w:p w14:paraId="4CD7FAED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Supplemental Table S7 (.</w:t>
      </w:r>
      <w:proofErr w:type="spellStart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xlsx</w:t>
      </w:r>
      <w:proofErr w:type="spellEnd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): Operons of </w:t>
      </w:r>
      <w:proofErr w:type="spellStart"/>
      <w:r w:rsidRPr="00D03D04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Acetobacterium</w:t>
      </w:r>
      <w:proofErr w:type="spellEnd"/>
      <w:r w:rsidRPr="00D03D04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D03D04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bakii</w:t>
      </w:r>
      <w:proofErr w:type="spellEnd"/>
      <w:r w:rsidRPr="00D03D04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.</w:t>
      </w:r>
    </w:p>
    <w:p w14:paraId="14C2224D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Supplemental Table S8 (.pdf): Predicted non-coding RNAs.</w:t>
      </w:r>
    </w:p>
    <w:p w14:paraId="76AAB365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Supplemental Table S9 (.pdf): Attenuators identified in </w:t>
      </w:r>
      <w:r w:rsidRPr="00D03D04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A. </w:t>
      </w:r>
      <w:proofErr w:type="spellStart"/>
      <w:r w:rsidRPr="00D03D04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bakii</w:t>
      </w:r>
      <w:proofErr w:type="spellEnd"/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and their respective mRNAs.</w:t>
      </w:r>
    </w:p>
    <w:p w14:paraId="0DB11837" w14:textId="77777777" w:rsidR="00DE23FF" w:rsidRPr="00D03D04" w:rsidRDefault="00DE23FF" w:rsidP="00DE23FF">
      <w:pPr>
        <w:snapToGrid w:val="0"/>
        <w:spacing w:after="0" w:line="480" w:lineRule="auto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D03D04">
        <w:rPr>
          <w:rFonts w:ascii="Times New Roman" w:eastAsia="Malgun Gothic" w:hAnsi="Times New Roman" w:cs="Times New Roman"/>
          <w:sz w:val="24"/>
          <w:szCs w:val="24"/>
          <w:lang w:eastAsia="ko-KR"/>
        </w:rPr>
        <w:t>Supplemental Table S10 (.pdf): Oligonucleotides and DNA fragments used in this study.</w:t>
      </w:r>
    </w:p>
    <w:p w14:paraId="2D4F79F2" w14:textId="77777777" w:rsidR="00A302BB" w:rsidRDefault="00A302BB">
      <w:bookmarkStart w:id="0" w:name="_GoBack"/>
      <w:bookmarkEnd w:id="0"/>
    </w:p>
    <w:sectPr w:rsidR="00A302BB" w:rsidSect="00F53E42">
      <w:headerReference w:type="default" r:id="rId4"/>
      <w:footerReference w:type="even" r:id="rId5"/>
      <w:footerReference w:type="default" r:id="rId6"/>
      <w:pgSz w:w="12240" w:h="15840" w:code="1"/>
      <w:pgMar w:top="1440" w:right="1440" w:bottom="1440" w:left="1440" w:header="709" w:footer="380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96F1D" w14:textId="77777777" w:rsidR="0019249C" w:rsidRDefault="00DE23FF" w:rsidP="003945EE">
    <w:pPr>
      <w:pStyle w:val="Footer"/>
    </w:pPr>
  </w:p>
  <w:p w14:paraId="23F86ADA" w14:textId="77777777" w:rsidR="0019249C" w:rsidRDefault="00DE23FF" w:rsidP="003945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706956837"/>
      <w:docPartObj>
        <w:docPartGallery w:val="Page Numbers (Bottom of Page)"/>
        <w:docPartUnique/>
      </w:docPartObj>
    </w:sdtPr>
    <w:sdtEndPr/>
    <w:sdtContent>
      <w:p w14:paraId="73AEB7F4" w14:textId="77777777" w:rsidR="0019249C" w:rsidRPr="00D03D04" w:rsidRDefault="00DE23FF" w:rsidP="00CE5C40">
        <w:pPr>
          <w:pStyle w:val="Footer"/>
          <w:jc w:val="center"/>
          <w:rPr>
            <w:rFonts w:ascii="Times New Roman" w:hAnsi="Times New Roman" w:cs="Times New Roman"/>
          </w:rPr>
        </w:pPr>
        <w:r w:rsidRPr="00D03D04">
          <w:rPr>
            <w:rFonts w:ascii="Times New Roman" w:hAnsi="Times New Roman" w:cs="Times New Roman"/>
            <w:sz w:val="24"/>
          </w:rPr>
          <w:fldChar w:fldCharType="begin"/>
        </w:r>
        <w:r w:rsidRPr="00D03D04">
          <w:rPr>
            <w:rFonts w:ascii="Times New Roman" w:hAnsi="Times New Roman" w:cs="Times New Roman"/>
            <w:sz w:val="24"/>
          </w:rPr>
          <w:instrText>PAGE   \* MERGEFORMAT</w:instrText>
        </w:r>
        <w:r w:rsidRPr="00D03D04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lang w:eastAsia="ko-KR"/>
          </w:rPr>
          <w:t>1</w:t>
        </w:r>
        <w:r w:rsidRPr="00D03D0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0D3EEB3" w14:textId="77777777" w:rsidR="0019249C" w:rsidRPr="00D03D04" w:rsidRDefault="00DE23F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AA675" w14:textId="77777777" w:rsidR="0019249C" w:rsidRPr="00D03D04" w:rsidRDefault="00DE23FF" w:rsidP="00704F5B">
    <w:pPr>
      <w:tabs>
        <w:tab w:val="left" w:pos="2780"/>
      </w:tabs>
    </w:pPr>
    <w:r w:rsidRPr="00D03D04">
      <w:rPr>
        <w:rFonts w:ascii="Times New Roman" w:eastAsia="BatangChe" w:hAnsi="Times New Roman" w:cs="Times New Roman"/>
        <w:lang w:eastAsia="ko-KR"/>
      </w:rPr>
      <w:t>Shin et al.</w:t>
    </w:r>
    <w:r w:rsidRPr="00D03D04">
      <w:rPr>
        <w:rFonts w:ascii="Times New Roman" w:eastAsia="BatangChe" w:hAnsi="Times New Roman" w:cs="Times New Roman"/>
        <w:lang w:eastAsia="ko-K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FF"/>
    <w:rsid w:val="00A302BB"/>
    <w:rsid w:val="00BC2853"/>
    <w:rsid w:val="00DE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EF9F7"/>
  <w14:defaultImageDpi w14:val="32767"/>
  <w15:chartTrackingRefBased/>
  <w15:docId w15:val="{E0546AAA-EAAE-FD45-9043-6D3853C0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23FF"/>
    <w:pPr>
      <w:spacing w:after="200" w:line="276" w:lineRule="auto"/>
    </w:pPr>
    <w:rPr>
      <w:rFonts w:ascii="Calibri" w:eastAsia="SimSun" w:hAnsi="Calibri" w:cs="Arial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23F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E23FF"/>
    <w:rPr>
      <w:rFonts w:ascii="Calibri" w:eastAsia="SimSun" w:hAnsi="Calibri" w:cs="Arial"/>
      <w:sz w:val="22"/>
      <w:szCs w:val="22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DE2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2018-09-24T19:26:00Z</dcterms:created>
  <dcterms:modified xsi:type="dcterms:W3CDTF">2018-09-24T19:26:00Z</dcterms:modified>
</cp:coreProperties>
</file>