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66" w:rsidRDefault="003D0C66" w:rsidP="003D0C66">
      <w:bookmarkStart w:id="0" w:name="_GoBack"/>
      <w:bookmarkEnd w:id="0"/>
      <w:proofErr w:type="gramStart"/>
      <w:r>
        <w:rPr>
          <w:b/>
        </w:rPr>
        <w:t xml:space="preserve">Supplementary </w:t>
      </w:r>
      <w:r w:rsidRPr="006525DC">
        <w:rPr>
          <w:b/>
        </w:rPr>
        <w:t xml:space="preserve">Figure </w:t>
      </w:r>
      <w:r>
        <w:rPr>
          <w:b/>
        </w:rPr>
        <w:t>1.</w:t>
      </w:r>
      <w:proofErr w:type="gramEnd"/>
      <w:r>
        <w:t xml:space="preserve"> </w:t>
      </w:r>
      <w:proofErr w:type="gramStart"/>
      <w:r>
        <w:t xml:space="preserve">Evaluation of predictive performance and comparison to </w:t>
      </w:r>
      <w:proofErr w:type="spellStart"/>
      <w:r>
        <w:rPr>
          <w:i/>
        </w:rPr>
        <w:t>branchpointer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Fraction of predictions agreeing with Mercer </w:t>
      </w:r>
      <w:proofErr w:type="spellStart"/>
      <w:r>
        <w:t>branchpoints</w:t>
      </w:r>
      <w:proofErr w:type="spellEnd"/>
      <w:r>
        <w:t xml:space="preserve"> for positions -18 to -45 (top) and -5 to -60 (bottom) on our test set (left) and the intersection of our test set and the </w:t>
      </w:r>
      <w:proofErr w:type="spellStart"/>
      <w:r>
        <w:rPr>
          <w:i/>
        </w:rPr>
        <w:t>branchpointer</w:t>
      </w:r>
      <w:proofErr w:type="spellEnd"/>
      <w:r>
        <w:rPr>
          <w:b/>
        </w:rPr>
        <w:t xml:space="preserve"> </w:t>
      </w:r>
      <w:r>
        <w:t>test set (right).</w:t>
      </w:r>
      <w:proofErr w:type="gramEnd"/>
      <w:r>
        <w:t xml:space="preserve"> A * indicates a significant difference with p &lt; 1e-6 by a two-sided Fisher Exact test.</w:t>
      </w:r>
    </w:p>
    <w:p w:rsidR="003D0C66" w:rsidRDefault="003D0C66" w:rsidP="003D0C66">
      <w:proofErr w:type="gramStart"/>
      <w:r>
        <w:rPr>
          <w:b/>
        </w:rPr>
        <w:t>Supplementary Figure 2.</w:t>
      </w:r>
      <w:proofErr w:type="gramEnd"/>
      <w:r>
        <w:rPr>
          <w:b/>
        </w:rPr>
        <w:t xml:space="preserve"> </w:t>
      </w:r>
      <w:proofErr w:type="spellStart"/>
      <w:proofErr w:type="gramStart"/>
      <w:r>
        <w:t>PhastCons</w:t>
      </w:r>
      <w:proofErr w:type="spellEnd"/>
      <w:r>
        <w:t xml:space="preserve"> conservation signature for experimental and predicted </w:t>
      </w:r>
      <w:proofErr w:type="spellStart"/>
      <w:r>
        <w:t>branchpoints</w:t>
      </w:r>
      <w:proofErr w:type="spellEnd"/>
      <w:r>
        <w:t>.</w:t>
      </w:r>
      <w:proofErr w:type="gramEnd"/>
    </w:p>
    <w:p w:rsidR="003D0C66" w:rsidRDefault="003D0C66" w:rsidP="003D0C66">
      <w:proofErr w:type="gramStart"/>
      <w:r>
        <w:rPr>
          <w:b/>
        </w:rPr>
        <w:t>Supplementary Figure 3.</w:t>
      </w:r>
      <w:proofErr w:type="gramEnd"/>
      <w:r>
        <w:rPr>
          <w:b/>
        </w:rPr>
        <w:t xml:space="preserve"> </w:t>
      </w:r>
      <w:proofErr w:type="gramStart"/>
      <w:r>
        <w:t xml:space="preserve">Consensus sequence for overlap of the Taggart and predicted </w:t>
      </w:r>
      <w:proofErr w:type="spellStart"/>
      <w:r>
        <w:t>branchpoints</w:t>
      </w:r>
      <w:proofErr w:type="spellEnd"/>
      <w:r>
        <w:t>.</w:t>
      </w:r>
      <w:proofErr w:type="gramEnd"/>
      <w:r>
        <w:t xml:space="preserve"> The </w:t>
      </w:r>
      <w:proofErr w:type="gramStart"/>
      <w:r>
        <w:t xml:space="preserve">overlap of Taggart and predicted </w:t>
      </w:r>
      <w:proofErr w:type="spellStart"/>
      <w:r>
        <w:t>branchpoints</w:t>
      </w:r>
      <w:proofErr w:type="spellEnd"/>
      <w:r>
        <w:t xml:space="preserve"> nearly invariantly have</w:t>
      </w:r>
      <w:proofErr w:type="gramEnd"/>
      <w:r>
        <w:t xml:space="preserve"> an A at the </w:t>
      </w:r>
      <w:proofErr w:type="spellStart"/>
      <w:r>
        <w:t>branchpoint</w:t>
      </w:r>
      <w:proofErr w:type="spellEnd"/>
      <w:r>
        <w:t xml:space="preserve"> position and U at the -2 position.</w:t>
      </w:r>
    </w:p>
    <w:p w:rsidR="003D0C66" w:rsidRDefault="003D0C66" w:rsidP="003D0C66">
      <w:proofErr w:type="gramStart"/>
      <w:r>
        <w:rPr>
          <w:b/>
        </w:rPr>
        <w:t xml:space="preserve">Supplementary </w:t>
      </w:r>
      <w:r w:rsidRPr="00A53709">
        <w:rPr>
          <w:b/>
        </w:rPr>
        <w:t xml:space="preserve">Figure </w:t>
      </w:r>
      <w:r>
        <w:rPr>
          <w:b/>
        </w:rPr>
        <w:t>4.</w:t>
      </w:r>
      <w:proofErr w:type="gramEnd"/>
      <w:r>
        <w:rPr>
          <w:b/>
        </w:rPr>
        <w:t xml:space="preserve"> </w:t>
      </w:r>
      <w:r w:rsidRPr="002B3AC7">
        <w:t xml:space="preserve">Experimentally determined </w:t>
      </w:r>
      <w:proofErr w:type="spellStart"/>
      <w:r>
        <w:t>branchpoints</w:t>
      </w:r>
      <w:proofErr w:type="spellEnd"/>
      <w:r>
        <w:t xml:space="preserve"> display a nucleotide content signature, consistent with extended base pairing with U2 </w:t>
      </w:r>
      <w:proofErr w:type="spellStart"/>
      <w:r>
        <w:t>snRNA</w:t>
      </w:r>
      <w:proofErr w:type="spellEnd"/>
      <w:r>
        <w:t xml:space="preserve">. (A, B, C) </w:t>
      </w:r>
      <w:proofErr w:type="gramStart"/>
      <w:r>
        <w:t xml:space="preserve">Identical to </w:t>
      </w:r>
      <w:r w:rsidRPr="00C73F42">
        <w:rPr>
          <w:b/>
        </w:rPr>
        <w:t>Figure 3</w:t>
      </w:r>
      <w:r>
        <w:rPr>
          <w:b/>
        </w:rPr>
        <w:t>A</w:t>
      </w:r>
      <w:r w:rsidRPr="00C73F42">
        <w:rPr>
          <w:b/>
        </w:rPr>
        <w:t>-</w:t>
      </w:r>
      <w:r>
        <w:rPr>
          <w:b/>
        </w:rPr>
        <w:t>C</w:t>
      </w:r>
      <w:r>
        <w:t xml:space="preserve">, except for </w:t>
      </w:r>
      <w:r w:rsidRPr="00D94FE6">
        <w:rPr>
          <w:i/>
        </w:rPr>
        <w:t>Mercer et al</w:t>
      </w:r>
      <w:r>
        <w:t>. experimental data instead of predictions.</w:t>
      </w:r>
      <w:proofErr w:type="gramEnd"/>
      <w:r>
        <w:t xml:space="preserve"> (D) G, C nucleotide content signature for a set of 718 experimentally determined budding yeast </w:t>
      </w:r>
      <w:proofErr w:type="spellStart"/>
      <w:r>
        <w:t>branchpoints</w:t>
      </w:r>
      <w:proofErr w:type="spellEnd"/>
      <w:r>
        <w:t>.</w:t>
      </w:r>
    </w:p>
    <w:p w:rsidR="003D0C66" w:rsidRDefault="003D0C66" w:rsidP="003D0C66">
      <w:proofErr w:type="gramStart"/>
      <w:r>
        <w:rPr>
          <w:b/>
        </w:rPr>
        <w:t xml:space="preserve">Supplementary </w:t>
      </w:r>
      <w:r w:rsidRPr="00A53709">
        <w:rPr>
          <w:b/>
        </w:rPr>
        <w:t xml:space="preserve">Figure </w:t>
      </w:r>
      <w:r>
        <w:rPr>
          <w:b/>
        </w:rPr>
        <w:t>5.</w:t>
      </w:r>
      <w:proofErr w:type="gramEnd"/>
      <w:r>
        <w:t xml:space="preserve"> </w:t>
      </w:r>
      <w:proofErr w:type="spellStart"/>
      <w:r>
        <w:t>Branchpoint</w:t>
      </w:r>
      <w:proofErr w:type="spellEnd"/>
      <w:r>
        <w:t xml:space="preserve"> sequences are correlated with their associated 5’SS sequences. (A) Differences in nucleotide content between 5’SSs associated with C </w:t>
      </w:r>
      <w:proofErr w:type="spellStart"/>
      <w:r>
        <w:t>branchpoints</w:t>
      </w:r>
      <w:proofErr w:type="spellEnd"/>
      <w:r>
        <w:t xml:space="preserve"> as compared to A </w:t>
      </w:r>
      <w:proofErr w:type="spellStart"/>
      <w:r>
        <w:t>branchpoints</w:t>
      </w:r>
      <w:proofErr w:type="spellEnd"/>
      <w:r>
        <w:t xml:space="preserve"> (top) and </w:t>
      </w:r>
      <w:proofErr w:type="spellStart"/>
      <w:r>
        <w:t>branchpoints</w:t>
      </w:r>
      <w:proofErr w:type="spellEnd"/>
      <w:r>
        <w:t xml:space="preserve"> without a U at the -2 position as compared to those that do (bottom). These are shown for both real 5’SS–</w:t>
      </w:r>
      <w:proofErr w:type="spellStart"/>
      <w:r>
        <w:t>branchpoint</w:t>
      </w:r>
      <w:proofErr w:type="spellEnd"/>
      <w:r>
        <w:t xml:space="preserve"> pairs (left) and intron length matched shuffled pairs (right). (B) Mutual information between all pairs of positions near the </w:t>
      </w:r>
      <w:proofErr w:type="spellStart"/>
      <w:r>
        <w:t>branchpoint</w:t>
      </w:r>
      <w:proofErr w:type="spellEnd"/>
      <w:r>
        <w:t xml:space="preserve"> and positions near the 5’SS. The marginal mutual information in bits (the sum of the corresponding row or column) for each position relative to the </w:t>
      </w:r>
      <w:proofErr w:type="spellStart"/>
      <w:r>
        <w:t>branchpoint</w:t>
      </w:r>
      <w:proofErr w:type="spellEnd"/>
      <w:r>
        <w:t xml:space="preserve"> and 5’SS is plotted in black and this marginal mutual information as a fraction of the entropy at each position is plotted in blue.</w:t>
      </w:r>
    </w:p>
    <w:p w:rsidR="003D0C66" w:rsidRDefault="003D0C66" w:rsidP="003D0C66">
      <w:r>
        <w:br w:type="page"/>
      </w:r>
    </w:p>
    <w:p w:rsidR="003D0C66" w:rsidRDefault="003D0C66" w:rsidP="003D0C66">
      <w:pPr>
        <w:pStyle w:val="Heading1"/>
      </w:pPr>
      <w:r>
        <w:lastRenderedPageBreak/>
        <w:t>Supplementary Tables</w:t>
      </w:r>
    </w:p>
    <w:p w:rsidR="003D0C66" w:rsidRPr="00300505" w:rsidRDefault="003D0C66" w:rsidP="003D0C66">
      <w:r>
        <w:rPr>
          <w:b/>
        </w:rPr>
        <w:t xml:space="preserve">Table S1. </w:t>
      </w:r>
      <w:proofErr w:type="gramStart"/>
      <w:r w:rsidRPr="008B2034">
        <w:t>Performance metrics for</w:t>
      </w:r>
      <w:r>
        <w:t xml:space="preserve"> </w:t>
      </w:r>
      <w:proofErr w:type="spellStart"/>
      <w:r>
        <w:t>LaBranchoR</w:t>
      </w:r>
      <w:proofErr w:type="spellEnd"/>
      <w:r>
        <w:t xml:space="preserve"> and </w:t>
      </w:r>
      <w:proofErr w:type="spellStart"/>
      <w:r>
        <w:rPr>
          <w:i/>
        </w:rPr>
        <w:t>branchpointer</w:t>
      </w:r>
      <w:proofErr w:type="spellEnd"/>
      <w:r>
        <w:t>.</w:t>
      </w:r>
      <w:proofErr w:type="gramEnd"/>
      <w:r>
        <w:rPr>
          <w:b/>
        </w:rPr>
        <w:t xml:space="preserve"> </w:t>
      </w:r>
      <w:r>
        <w:t>Area under the precision-recall (</w:t>
      </w:r>
      <w:proofErr w:type="spellStart"/>
      <w:r>
        <w:t>auPRC</w:t>
      </w:r>
      <w:proofErr w:type="spellEnd"/>
      <w:r>
        <w:t>) and receiver-operator (</w:t>
      </w:r>
      <w:proofErr w:type="spellStart"/>
      <w:r>
        <w:t>auROC</w:t>
      </w:r>
      <w:proofErr w:type="spellEnd"/>
      <w:r>
        <w:t xml:space="preserve">) curve statistics for </w:t>
      </w:r>
      <w:proofErr w:type="spellStart"/>
      <w:r>
        <w:rPr>
          <w:i/>
        </w:rPr>
        <w:t>branchpointer</w:t>
      </w:r>
      <w:proofErr w:type="spellEnd"/>
      <w:r>
        <w:rPr>
          <w:i/>
        </w:rPr>
        <w:t xml:space="preserve"> </w:t>
      </w:r>
      <w:r>
        <w:t>(BPTR)</w:t>
      </w:r>
      <w:r>
        <w:rPr>
          <w:i/>
        </w:rPr>
        <w:t xml:space="preserve"> </w:t>
      </w:r>
      <w:r>
        <w:t xml:space="preserve">and </w:t>
      </w:r>
      <w:proofErr w:type="spellStart"/>
      <w:r>
        <w:t>LaBranchoR</w:t>
      </w:r>
      <w:proofErr w:type="spellEnd"/>
      <w:r>
        <w:t xml:space="preserve"> (LBR). ‘Mercer’ refers to all Mercer high confidence sites. ‘Test Intersect’ is the intersection of our test set and the </w:t>
      </w:r>
      <w:proofErr w:type="spellStart"/>
      <w:r w:rsidRPr="0073087B">
        <w:rPr>
          <w:i/>
        </w:rPr>
        <w:t>branchpointer</w:t>
      </w:r>
      <w:proofErr w:type="spellEnd"/>
      <w:r>
        <w:t xml:space="preserve"> test set. ‘Taggart’ is the set of Taggart et al. 2017 </w:t>
      </w:r>
      <w:proofErr w:type="spellStart"/>
      <w:r>
        <w:t>branchpoints</w:t>
      </w:r>
      <w:proofErr w:type="spellEnd"/>
      <w:r>
        <w:t xml:space="preserve"> on chromosome 1-4.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340"/>
        <w:gridCol w:w="839"/>
        <w:gridCol w:w="853"/>
        <w:gridCol w:w="908"/>
        <w:gridCol w:w="855"/>
        <w:gridCol w:w="831"/>
        <w:gridCol w:w="76"/>
        <w:gridCol w:w="895"/>
        <w:gridCol w:w="908"/>
        <w:gridCol w:w="855"/>
      </w:tblGrid>
      <w:tr w:rsidR="003D0C66" w:rsidTr="00E70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40" w:type="dxa"/>
          </w:tcPr>
          <w:p w:rsidR="003D0C66" w:rsidRDefault="003D0C66" w:rsidP="00E709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Test Set</w:t>
            </w:r>
          </w:p>
        </w:tc>
        <w:tc>
          <w:tcPr>
            <w:tcW w:w="4286" w:type="dxa"/>
            <w:gridSpan w:val="5"/>
          </w:tcPr>
          <w:p w:rsidR="003D0C66" w:rsidRDefault="003D0C66" w:rsidP="00E709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-18 to -45 from 3’SS</w:t>
            </w:r>
          </w:p>
        </w:tc>
        <w:tc>
          <w:tcPr>
            <w:tcW w:w="2734" w:type="dxa"/>
            <w:gridSpan w:val="4"/>
          </w:tcPr>
          <w:p w:rsidR="003D0C66" w:rsidRDefault="003D0C66" w:rsidP="00E709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All Positions</w:t>
            </w:r>
          </w:p>
        </w:tc>
      </w:tr>
      <w:tr w:rsidR="003D0C66" w:rsidTr="00E70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:rsidR="003D0C66" w:rsidRDefault="003D0C66" w:rsidP="00E709F7">
            <w:pPr>
              <w:rPr>
                <w:rFonts w:cs="Times New Roman"/>
              </w:rPr>
            </w:pPr>
            <w:r>
              <w:rPr>
                <w:rFonts w:cs="Times New Roman"/>
              </w:rPr>
              <w:t>metric</w:t>
            </w:r>
          </w:p>
        </w:tc>
        <w:tc>
          <w:tcPr>
            <w:tcW w:w="1692" w:type="dxa"/>
            <w:gridSpan w:val="2"/>
            <w:tcBorders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proofErr w:type="gramStart"/>
            <w:r w:rsidRPr="00B33EFD">
              <w:rPr>
                <w:rFonts w:cs="Times New Roman"/>
              </w:rPr>
              <w:t>auPRC</w:t>
            </w:r>
            <w:proofErr w:type="spellEnd"/>
            <w:proofErr w:type="gramEnd"/>
          </w:p>
        </w:tc>
        <w:tc>
          <w:tcPr>
            <w:tcW w:w="17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proofErr w:type="gramStart"/>
            <w:r w:rsidRPr="00B33EFD">
              <w:rPr>
                <w:rFonts w:cs="Times New Roman"/>
              </w:rPr>
              <w:t>auROC</w:t>
            </w:r>
            <w:proofErr w:type="spellEnd"/>
            <w:proofErr w:type="gramEnd"/>
          </w:p>
        </w:tc>
        <w:tc>
          <w:tcPr>
            <w:tcW w:w="18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proofErr w:type="gramStart"/>
            <w:r w:rsidRPr="00B33EFD">
              <w:rPr>
                <w:rFonts w:cs="Times New Roman"/>
              </w:rPr>
              <w:t>auPRC</w:t>
            </w:r>
            <w:proofErr w:type="spellEnd"/>
            <w:proofErr w:type="gramEnd"/>
          </w:p>
        </w:tc>
        <w:tc>
          <w:tcPr>
            <w:tcW w:w="1763" w:type="dxa"/>
            <w:gridSpan w:val="2"/>
            <w:tcBorders>
              <w:lef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proofErr w:type="gramStart"/>
            <w:r w:rsidRPr="00B33EFD">
              <w:rPr>
                <w:rFonts w:cs="Times New Roman"/>
              </w:rPr>
              <w:t>auROC</w:t>
            </w:r>
            <w:proofErr w:type="spellEnd"/>
            <w:proofErr w:type="gramEnd"/>
          </w:p>
        </w:tc>
      </w:tr>
      <w:tr w:rsidR="003D0C66" w:rsidTr="00E70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:rsidR="003D0C66" w:rsidRDefault="003D0C66" w:rsidP="00E709F7">
            <w:pPr>
              <w:rPr>
                <w:rFonts w:cs="Times New Roman"/>
              </w:rPr>
            </w:pPr>
            <w:r>
              <w:rPr>
                <w:rFonts w:cs="Times New Roman"/>
              </w:rPr>
              <w:t>Method</w:t>
            </w:r>
          </w:p>
        </w:tc>
        <w:tc>
          <w:tcPr>
            <w:tcW w:w="839" w:type="dxa"/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5149E">
              <w:rPr>
                <w:rFonts w:cs="Times New Roman"/>
              </w:rPr>
              <w:t>BPTR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LBR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5149E">
              <w:rPr>
                <w:rFonts w:cs="Times New Roman"/>
              </w:rPr>
              <w:t>BPTR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LBR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5149E">
              <w:rPr>
                <w:rFonts w:cs="Times New Roman"/>
              </w:rPr>
              <w:t>BPTR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LBR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5149E">
              <w:rPr>
                <w:rFonts w:cs="Times New Roman"/>
              </w:rPr>
              <w:t>BPTR</w:t>
            </w:r>
          </w:p>
        </w:tc>
        <w:tc>
          <w:tcPr>
            <w:tcW w:w="855" w:type="dxa"/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LBR</w:t>
            </w:r>
          </w:p>
        </w:tc>
      </w:tr>
      <w:tr w:rsidR="003D0C66" w:rsidTr="00E70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:rsidR="003D0C66" w:rsidRDefault="003D0C66" w:rsidP="00E709F7">
            <w:pPr>
              <w:rPr>
                <w:rFonts w:cs="Times New Roman"/>
              </w:rPr>
            </w:pPr>
            <w:r>
              <w:rPr>
                <w:rFonts w:cs="Times New Roman"/>
              </w:rPr>
              <w:t>Mercer</w:t>
            </w:r>
          </w:p>
        </w:tc>
        <w:tc>
          <w:tcPr>
            <w:tcW w:w="839" w:type="dxa"/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0.712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0.733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0.927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0.956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0.645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0.687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0.908</w:t>
            </w:r>
          </w:p>
        </w:tc>
        <w:tc>
          <w:tcPr>
            <w:tcW w:w="855" w:type="dxa"/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0.971</w:t>
            </w:r>
          </w:p>
        </w:tc>
      </w:tr>
      <w:tr w:rsidR="003D0C66" w:rsidTr="00E70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:rsidR="003D0C66" w:rsidRDefault="003D0C66" w:rsidP="00E709F7">
            <w:pPr>
              <w:rPr>
                <w:rFonts w:cs="Times New Roman"/>
              </w:rPr>
            </w:pPr>
            <w:r>
              <w:rPr>
                <w:rFonts w:cs="Times New Roman"/>
              </w:rPr>
              <w:t>Test Intersect</w:t>
            </w:r>
          </w:p>
        </w:tc>
        <w:tc>
          <w:tcPr>
            <w:tcW w:w="839" w:type="dxa"/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0.617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0.784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0.865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0.975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0.476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0.694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0.806</w:t>
            </w:r>
          </w:p>
        </w:tc>
        <w:tc>
          <w:tcPr>
            <w:tcW w:w="855" w:type="dxa"/>
          </w:tcPr>
          <w:p w:rsidR="003D0C66" w:rsidRDefault="003D0C66" w:rsidP="00E70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0.978</w:t>
            </w:r>
          </w:p>
        </w:tc>
      </w:tr>
      <w:tr w:rsidR="003D0C66" w:rsidTr="00E70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:rsidR="003D0C66" w:rsidRDefault="003D0C66" w:rsidP="00E709F7">
            <w:pPr>
              <w:rPr>
                <w:rFonts w:cs="Times New Roman"/>
              </w:rPr>
            </w:pPr>
            <w:r>
              <w:rPr>
                <w:rFonts w:cs="Times New Roman"/>
              </w:rPr>
              <w:t>Taggart</w:t>
            </w:r>
          </w:p>
        </w:tc>
        <w:tc>
          <w:tcPr>
            <w:tcW w:w="839" w:type="dxa"/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0.446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0.534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0.855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0.907</w:t>
            </w: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0.389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0.482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0.872</w:t>
            </w:r>
          </w:p>
        </w:tc>
        <w:tc>
          <w:tcPr>
            <w:tcW w:w="855" w:type="dxa"/>
          </w:tcPr>
          <w:p w:rsidR="003D0C66" w:rsidRDefault="003D0C66" w:rsidP="00E7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0.844</w:t>
            </w:r>
          </w:p>
        </w:tc>
      </w:tr>
    </w:tbl>
    <w:p w:rsidR="003D0C66" w:rsidRPr="00396B57" w:rsidRDefault="003D0C66" w:rsidP="003D0C66"/>
    <w:p w:rsidR="003D0C66" w:rsidRPr="00FC6F8D" w:rsidRDefault="003D0C66" w:rsidP="003D0C66">
      <w:proofErr w:type="gramStart"/>
      <w:r>
        <w:rPr>
          <w:b/>
        </w:rPr>
        <w:t>Supplementary Table 2.</w:t>
      </w:r>
      <w:proofErr w:type="gramEnd"/>
      <w:r>
        <w:rPr>
          <w:b/>
        </w:rPr>
        <w:t xml:space="preserve"> </w:t>
      </w:r>
      <w:r>
        <w:t xml:space="preserve">Weak </w:t>
      </w:r>
      <w:proofErr w:type="spellStart"/>
      <w:r>
        <w:t>branchpoints</w:t>
      </w:r>
      <w:proofErr w:type="spellEnd"/>
      <w:r>
        <w:t xml:space="preserve"> play a role in alternative splicing. ‘Up SE’ </w:t>
      </w:r>
      <w:proofErr w:type="gramStart"/>
      <w:r>
        <w:t>correspond</w:t>
      </w:r>
      <w:proofErr w:type="gramEnd"/>
      <w:r>
        <w:t xml:space="preserve"> to </w:t>
      </w:r>
      <w:proofErr w:type="spellStart"/>
      <w:r>
        <w:t>branchpoints</w:t>
      </w:r>
      <w:proofErr w:type="spellEnd"/>
      <w:r>
        <w:t xml:space="preserve"> upstream of a conditionally skipped exon and ‘Down SE’ corresponds to </w:t>
      </w:r>
      <w:proofErr w:type="spellStart"/>
      <w:r>
        <w:t>branchpoints</w:t>
      </w:r>
      <w:proofErr w:type="spellEnd"/>
      <w:r>
        <w:t xml:space="preserve"> in introns downstream of conditionally skipped exons. ‘Retained’ refers to conditionally retained introns. Columns 2 and 3 refer to the fraction of </w:t>
      </w:r>
      <w:proofErr w:type="spellStart"/>
      <w:r>
        <w:t>branchpoints</w:t>
      </w:r>
      <w:proofErr w:type="spellEnd"/>
      <w:r>
        <w:t xml:space="preserve"> associated with each alternative splicing event. The enrichment and associated p-value (determined by a two-sided Fisher exact test) correspond to the ratio of columns 3 and 2.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D0C66" w:rsidTr="00E70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0" w:type="dxa"/>
          </w:tcPr>
          <w:p w:rsidR="003D0C66" w:rsidRDefault="003D0C66" w:rsidP="00E709F7">
            <w:r>
              <w:t>Event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 at BP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 at BP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Enrich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P-value</w:t>
            </w:r>
          </w:p>
        </w:tc>
      </w:tr>
      <w:tr w:rsidR="003D0C66" w:rsidTr="00E70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3D0C66" w:rsidRDefault="003D0C66" w:rsidP="00E709F7">
            <w:r w:rsidRPr="001427D2">
              <w:t>Up SE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7D2">
              <w:t>0.1199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7D2">
              <w:t>0.1452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7D2">
              <w:t>1.210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7D2">
              <w:t>1e-5</w:t>
            </w:r>
          </w:p>
        </w:tc>
      </w:tr>
      <w:tr w:rsidR="003D0C66" w:rsidTr="00E70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3D0C66" w:rsidRDefault="003D0C66" w:rsidP="00E709F7">
            <w:r w:rsidRPr="001427D2">
              <w:t>Down SE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7D2">
              <w:rPr>
                <w:lang w:val="hr-HR"/>
              </w:rPr>
              <w:t>0.1093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7D2">
              <w:rPr>
                <w:lang w:val="hr-HR"/>
              </w:rPr>
              <w:t>0.0990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7D2">
              <w:rPr>
                <w:lang w:val="pl-PL"/>
              </w:rPr>
              <w:t>0.906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7D2">
              <w:t>0.062</w:t>
            </w:r>
          </w:p>
        </w:tc>
      </w:tr>
      <w:tr w:rsidR="003D0C66" w:rsidTr="00E70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3D0C66" w:rsidRDefault="003D0C66" w:rsidP="00E709F7">
            <w:r w:rsidRPr="001427D2">
              <w:t>Retained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7D2">
              <w:t>0.0308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7D2">
              <w:t>0.0727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7D2">
              <w:t>2.356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27D2">
              <w:rPr>
                <w:lang w:val="is-IS"/>
              </w:rPr>
              <w:t>8e-39</w:t>
            </w:r>
          </w:p>
        </w:tc>
      </w:tr>
    </w:tbl>
    <w:p w:rsidR="003D0C66" w:rsidRDefault="003D0C66" w:rsidP="003D0C66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D0C66" w:rsidTr="00E70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0" w:type="dxa"/>
          </w:tcPr>
          <w:p w:rsidR="003D0C66" w:rsidRDefault="003D0C66" w:rsidP="00E709F7">
            <w:r>
              <w:t>Event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</w:t>
            </w:r>
            <w:r w:rsidRPr="00A44B04">
              <w:t xml:space="preserve"> at -2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4B04">
              <w:t xml:space="preserve">Not </w:t>
            </w:r>
            <w:r>
              <w:t>U</w:t>
            </w:r>
            <w:r w:rsidRPr="00A44B04">
              <w:t xml:space="preserve"> at -2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Enrich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P-value</w:t>
            </w:r>
          </w:p>
        </w:tc>
      </w:tr>
      <w:tr w:rsidR="003D0C66" w:rsidTr="00E70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3D0C66" w:rsidRDefault="003D0C66" w:rsidP="00E709F7">
            <w:r w:rsidRPr="001427D2">
              <w:t>Up SE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B04">
              <w:rPr>
                <w:lang w:val="fi-FI"/>
              </w:rPr>
              <w:t>0.1179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B04">
              <w:rPr>
                <w:lang w:val="hr-HR"/>
              </w:rPr>
              <w:t>0.1311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B04">
              <w:rPr>
                <w:lang w:val="nb-NO"/>
              </w:rPr>
              <w:t>1.1120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B04">
              <w:t>9e-13</w:t>
            </w:r>
          </w:p>
        </w:tc>
      </w:tr>
      <w:tr w:rsidR="003D0C66" w:rsidTr="00E70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3D0C66" w:rsidRDefault="003D0C66" w:rsidP="00E709F7">
            <w:r w:rsidRPr="001427D2">
              <w:t>Down SE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B04">
              <w:rPr>
                <w:lang w:val="cs-CZ"/>
              </w:rPr>
              <w:t>0.1111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B04">
              <w:rPr>
                <w:lang w:val="nb-NO"/>
              </w:rPr>
              <w:t>0.1003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B04">
              <w:rPr>
                <w:lang w:val="nb-NO"/>
              </w:rPr>
              <w:t>0.902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B04">
              <w:t>6e-10</w:t>
            </w:r>
          </w:p>
        </w:tc>
      </w:tr>
      <w:tr w:rsidR="003D0C66" w:rsidTr="00E70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3D0C66" w:rsidRDefault="003D0C66" w:rsidP="00E709F7">
            <w:r w:rsidRPr="001427D2">
              <w:t>Retained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B04">
              <w:rPr>
                <w:lang w:val="nb-NO"/>
              </w:rPr>
              <w:t>0.0294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B04">
              <w:rPr>
                <w:lang w:val="is-IS"/>
              </w:rPr>
              <w:t>0.0406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B04">
              <w:rPr>
                <w:lang w:val="nb-NO"/>
              </w:rPr>
              <w:t>1.380</w:t>
            </w:r>
          </w:p>
        </w:tc>
        <w:tc>
          <w:tcPr>
            <w:tcW w:w="1870" w:type="dxa"/>
          </w:tcPr>
          <w:p w:rsidR="003D0C66" w:rsidRDefault="003D0C66" w:rsidP="00E70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B04">
              <w:rPr>
                <w:lang w:val="is-IS"/>
              </w:rPr>
              <w:t>5e-28</w:t>
            </w:r>
          </w:p>
        </w:tc>
      </w:tr>
    </w:tbl>
    <w:p w:rsidR="003D0C66" w:rsidRDefault="003D0C66" w:rsidP="003D0C66">
      <w:pPr>
        <w:rPr>
          <w:b/>
        </w:rPr>
      </w:pPr>
    </w:p>
    <w:p w:rsidR="003D0C66" w:rsidRDefault="003D0C66" w:rsidP="003D0C66">
      <w:pPr>
        <w:pStyle w:val="Heading1"/>
      </w:pPr>
      <w:r>
        <w:t>Additional Files</w:t>
      </w:r>
    </w:p>
    <w:p w:rsidR="003D0C66" w:rsidRDefault="003D0C66" w:rsidP="003D0C66">
      <w:proofErr w:type="gramStart"/>
      <w:r>
        <w:rPr>
          <w:b/>
        </w:rPr>
        <w:t>Additional File 1.</w:t>
      </w:r>
      <w:proofErr w:type="gramEnd"/>
      <w:r>
        <w:rPr>
          <w:b/>
        </w:rPr>
        <w:t xml:space="preserve"> </w:t>
      </w:r>
      <w:proofErr w:type="gramStart"/>
      <w:r>
        <w:t xml:space="preserve">Genome-wide </w:t>
      </w:r>
      <w:proofErr w:type="spellStart"/>
      <w:r>
        <w:t>branchpoint</w:t>
      </w:r>
      <w:proofErr w:type="spellEnd"/>
      <w:r>
        <w:t xml:space="preserve"> predictions.</w:t>
      </w:r>
      <w:proofErr w:type="gramEnd"/>
      <w:r>
        <w:t xml:space="preserve"> </w:t>
      </w:r>
      <w:proofErr w:type="gramStart"/>
      <w:r>
        <w:t xml:space="preserve">A bed file of </w:t>
      </w:r>
      <w:proofErr w:type="spellStart"/>
      <w:r>
        <w:t>branchpoint</w:t>
      </w:r>
      <w:proofErr w:type="spellEnd"/>
      <w:r>
        <w:t xml:space="preserve"> predictions for all introns in protein coding genes in the </w:t>
      </w:r>
      <w:proofErr w:type="spellStart"/>
      <w:r>
        <w:t>Gencode</w:t>
      </w:r>
      <w:proofErr w:type="spellEnd"/>
      <w:r>
        <w:t xml:space="preserve"> v19 annotations.</w:t>
      </w:r>
      <w:proofErr w:type="gramEnd"/>
      <w:r>
        <w:t xml:space="preserve"> Each entry corresponds to the nucleotide with highest predicted probability of being a </w:t>
      </w:r>
      <w:proofErr w:type="spellStart"/>
      <w:r>
        <w:t>branchpoint</w:t>
      </w:r>
      <w:proofErr w:type="spellEnd"/>
      <w:r>
        <w:t xml:space="preserve"> for each 3’SS.</w:t>
      </w:r>
    </w:p>
    <w:p w:rsidR="003D0C66" w:rsidRDefault="003D0C66" w:rsidP="003D0C66">
      <w:proofErr w:type="gramStart"/>
      <w:r>
        <w:rPr>
          <w:b/>
        </w:rPr>
        <w:t>Additional File 2.</w:t>
      </w:r>
      <w:proofErr w:type="gramEnd"/>
      <w:r>
        <w:rPr>
          <w:b/>
        </w:rPr>
        <w:t xml:space="preserve"> </w:t>
      </w:r>
      <w:proofErr w:type="gramStart"/>
      <w:r>
        <w:t xml:space="preserve">Genome-wide </w:t>
      </w:r>
      <w:proofErr w:type="spellStart"/>
      <w:r>
        <w:t>branchpoint</w:t>
      </w:r>
      <w:proofErr w:type="spellEnd"/>
      <w:r>
        <w:t xml:space="preserve"> probabilities.</w:t>
      </w:r>
      <w:proofErr w:type="gramEnd"/>
      <w:r>
        <w:t xml:space="preserve"> </w:t>
      </w:r>
      <w:proofErr w:type="gramStart"/>
      <w:r>
        <w:t xml:space="preserve">Similar to </w:t>
      </w:r>
      <w:r w:rsidRPr="008C1067">
        <w:rPr>
          <w:b/>
        </w:rPr>
        <w:t xml:space="preserve">Additional </w:t>
      </w:r>
      <w:r w:rsidRPr="009B0DFE">
        <w:rPr>
          <w:b/>
        </w:rPr>
        <w:t>F</w:t>
      </w:r>
      <w:r w:rsidRPr="008C1067">
        <w:rPr>
          <w:b/>
        </w:rPr>
        <w:t>ile 1</w:t>
      </w:r>
      <w:r>
        <w:t xml:space="preserve">, except contains </w:t>
      </w:r>
      <w:proofErr w:type="spellStart"/>
      <w:r>
        <w:t>branchpoint</w:t>
      </w:r>
      <w:proofErr w:type="spellEnd"/>
      <w:r>
        <w:t xml:space="preserve"> probabilities for all 70 nucleotides upstream of each 3’SS.</w:t>
      </w:r>
      <w:proofErr w:type="gramEnd"/>
    </w:p>
    <w:p w:rsidR="003D0C66" w:rsidRPr="00A91ABF" w:rsidRDefault="003D0C66" w:rsidP="003D0C66">
      <w:proofErr w:type="gramStart"/>
      <w:r>
        <w:rPr>
          <w:b/>
        </w:rPr>
        <w:t>Additional File 3.</w:t>
      </w:r>
      <w:proofErr w:type="gramEnd"/>
      <w:r>
        <w:rPr>
          <w:b/>
        </w:rPr>
        <w:t xml:space="preserve"> </w:t>
      </w:r>
      <w:proofErr w:type="gramStart"/>
      <w:r>
        <w:t xml:space="preserve">Genome-wide </w:t>
      </w:r>
      <w:r>
        <w:rPr>
          <w:i/>
        </w:rPr>
        <w:t xml:space="preserve">in </w:t>
      </w:r>
      <w:proofErr w:type="spellStart"/>
      <w:r>
        <w:rPr>
          <w:i/>
        </w:rPr>
        <w:t>silico</w:t>
      </w:r>
      <w:proofErr w:type="spellEnd"/>
      <w:r>
        <w:t xml:space="preserve"> mutagenesis scores.</w:t>
      </w:r>
      <w:proofErr w:type="gramEnd"/>
      <w:r>
        <w:t xml:space="preserve"> Mutagenesis scores for all possible single nucleotide polymorphisms in the 70 nucleotides upstream of all 3’SSs in protein coding genes in the </w:t>
      </w:r>
      <w:proofErr w:type="spellStart"/>
      <w:r>
        <w:t>Gencode</w:t>
      </w:r>
      <w:proofErr w:type="spellEnd"/>
      <w:r>
        <w:t xml:space="preserve"> v19 annotations.</w:t>
      </w:r>
    </w:p>
    <w:p w:rsidR="00CB4E02" w:rsidRDefault="00CB4E02"/>
    <w:sectPr w:rsidR="00CB4E02" w:rsidSect="000C1B2C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66"/>
    <w:rsid w:val="003D0C66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66"/>
    <w:pPr>
      <w:spacing w:after="200" w:line="480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C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PlainTable3">
    <w:name w:val="Plain Table 3"/>
    <w:basedOn w:val="TableNormal"/>
    <w:uiPriority w:val="43"/>
    <w:rsid w:val="003D0C66"/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D0C6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66"/>
    <w:pPr>
      <w:spacing w:after="200" w:line="480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C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PlainTable3">
    <w:name w:val="Plain Table 3"/>
    <w:basedOn w:val="TableNormal"/>
    <w:uiPriority w:val="43"/>
    <w:rsid w:val="003D0C66"/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D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3520</Characters>
  <Application>Microsoft Macintosh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2018-09-17T14:30:00Z</dcterms:created>
  <dcterms:modified xsi:type="dcterms:W3CDTF">2018-09-17T14:31:00Z</dcterms:modified>
</cp:coreProperties>
</file>