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EEE19" w14:textId="77777777" w:rsidR="00A633A4" w:rsidRPr="00F106D4" w:rsidRDefault="00A633A4" w:rsidP="00A633A4">
      <w:pPr>
        <w:spacing w:line="480" w:lineRule="auto"/>
        <w:rPr>
          <w:rFonts w:ascii="Arial" w:hAnsi="Arial"/>
          <w:b/>
          <w:bCs/>
          <w:sz w:val="24"/>
          <w:szCs w:val="24"/>
        </w:rPr>
      </w:pPr>
      <w:r w:rsidRPr="00F106D4">
        <w:rPr>
          <w:rFonts w:ascii="Arial" w:hAnsi="Arial" w:cs="Arial"/>
          <w:sz w:val="20"/>
          <w:szCs w:val="20"/>
          <w:lang w:val="en-US"/>
        </w:rPr>
        <w:fldChar w:fldCharType="begin"/>
      </w:r>
      <w:r w:rsidRPr="00F106D4">
        <w:rPr>
          <w:rFonts w:ascii="Arial" w:hAnsi="Arial" w:cs="Arial"/>
          <w:sz w:val="20"/>
          <w:szCs w:val="20"/>
          <w:lang w:val="en-US"/>
        </w:rPr>
        <w:instrText xml:space="preserve"> ADDIN EN.REFLIST </w:instrText>
      </w:r>
      <w:r w:rsidRPr="00F106D4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F106D4">
        <w:rPr>
          <w:rFonts w:ascii="Arial" w:hAnsi="Arial"/>
          <w:b/>
          <w:bCs/>
          <w:sz w:val="24"/>
          <w:szCs w:val="24"/>
        </w:rPr>
        <w:t xml:space="preserve"> SUPPLEMENTARY DATA</w:t>
      </w:r>
    </w:p>
    <w:p w14:paraId="2170E244" w14:textId="77777777" w:rsidR="00A633A4" w:rsidRPr="00F106D4" w:rsidRDefault="00A633A4" w:rsidP="00A633A4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106D4">
        <w:rPr>
          <w:rFonts w:ascii="Arial" w:hAnsi="Arial" w:cs="Arial"/>
          <w:sz w:val="24"/>
          <w:szCs w:val="24"/>
          <w:lang w:val="en-US"/>
        </w:rPr>
        <w:t>1. Complete list of mass spectrometry data</w:t>
      </w:r>
    </w:p>
    <w:p w14:paraId="02A5127D" w14:textId="77777777" w:rsidR="00A633A4" w:rsidRPr="00F106D4" w:rsidRDefault="00A633A4" w:rsidP="00A633A4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106D4">
        <w:rPr>
          <w:rFonts w:ascii="Arial" w:hAnsi="Arial" w:cs="Arial"/>
          <w:sz w:val="24"/>
          <w:szCs w:val="24"/>
          <w:lang w:val="en-US"/>
        </w:rPr>
        <w:t>2. Supplementary material and methods</w:t>
      </w:r>
    </w:p>
    <w:p w14:paraId="726F968B" w14:textId="57F797EF" w:rsidR="006632F4" w:rsidRPr="007B0007" w:rsidRDefault="00A633A4" w:rsidP="006632F4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106D4">
        <w:rPr>
          <w:rFonts w:ascii="Arial" w:hAnsi="Arial" w:cs="Arial"/>
          <w:sz w:val="24"/>
          <w:szCs w:val="24"/>
          <w:lang w:val="en-US"/>
        </w:rPr>
        <w:t xml:space="preserve">3. Fig. S1 </w:t>
      </w:r>
      <w:r w:rsidR="006632F4">
        <w:rPr>
          <w:rFonts w:ascii="Arial" w:hAnsi="Arial" w:cs="Arial"/>
          <w:sz w:val="24"/>
          <w:szCs w:val="24"/>
          <w:lang w:val="en-US"/>
        </w:rPr>
        <w:t>DENV</w:t>
      </w:r>
      <w:r w:rsidR="00B22851">
        <w:rPr>
          <w:rFonts w:ascii="Arial" w:hAnsi="Arial" w:cs="Arial"/>
          <w:sz w:val="24"/>
          <w:szCs w:val="24"/>
          <w:lang w:val="en-US"/>
        </w:rPr>
        <w:t>4</w:t>
      </w:r>
      <w:r w:rsidR="006632F4" w:rsidRPr="007B0007">
        <w:rPr>
          <w:rFonts w:ascii="Arial" w:hAnsi="Arial" w:cs="Arial"/>
          <w:sz w:val="24"/>
          <w:szCs w:val="24"/>
          <w:lang w:val="en-US"/>
        </w:rPr>
        <w:t xml:space="preserve"> RNA interacts with QKI in infected cells</w:t>
      </w:r>
    </w:p>
    <w:p w14:paraId="317CC822" w14:textId="7E6C935F" w:rsidR="00B22851" w:rsidRDefault="00B22851" w:rsidP="006632F4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7B0007">
        <w:rPr>
          <w:rFonts w:ascii="Arial" w:hAnsi="Arial" w:cs="Arial"/>
          <w:sz w:val="24"/>
          <w:szCs w:val="24"/>
          <w:lang w:val="en-US"/>
        </w:rPr>
        <w:t xml:space="preserve">Total RNA was isolated from immunoprecipitated materials and was analyzed by RT-qPCR using primers specific for indicated RNAs. </w:t>
      </w:r>
      <w:r>
        <w:rPr>
          <w:rFonts w:ascii="Arial" w:hAnsi="Arial" w:cs="Arial"/>
          <w:sz w:val="24"/>
          <w:szCs w:val="24"/>
          <w:lang w:val="en-US"/>
        </w:rPr>
        <w:t xml:space="preserve">Each point represents one biological replicate. 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Statistical significance was determined using a two-tailed </w:t>
      </w:r>
      <w:r w:rsidRPr="007B0007">
        <w:rPr>
          <w:rFonts w:ascii="Arial" w:hAnsi="Arial" w:cs="Arial"/>
          <w:i/>
          <w:sz w:val="24"/>
          <w:szCs w:val="24"/>
          <w:lang w:val="en-US"/>
        </w:rPr>
        <w:t>t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test: 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, p˂0.05; 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Symbol" w:hAnsi="Symbol" w:cs="Arial"/>
          <w:sz w:val="24"/>
          <w:szCs w:val="24"/>
          <w:lang w:val="en-US"/>
        </w:rPr>
        <w:t>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p˂0.01; 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Arial" w:hAnsi="Arial" w:cs="Arial"/>
          <w:sz w:val="24"/>
          <w:szCs w:val="24"/>
          <w:lang w:val="en-US"/>
        </w:rPr>
        <w:t>, p˂0.001. Error bars indicate S.E.M.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FAD2073" w14:textId="23602AF7" w:rsidR="00A633A4" w:rsidRPr="00F106D4" w:rsidRDefault="00A633A4" w:rsidP="006632F4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F106D4">
        <w:rPr>
          <w:rFonts w:ascii="Arial" w:hAnsi="Arial" w:cs="Arial"/>
          <w:sz w:val="24"/>
          <w:szCs w:val="24"/>
          <w:lang w:val="en-US"/>
        </w:rPr>
        <w:t xml:space="preserve">4. Fig. </w:t>
      </w:r>
      <w:r w:rsidR="0060622F">
        <w:rPr>
          <w:rFonts w:ascii="Arial" w:hAnsi="Arial" w:cs="Arial"/>
          <w:sz w:val="24"/>
          <w:szCs w:val="24"/>
          <w:lang w:val="en-US"/>
        </w:rPr>
        <w:t xml:space="preserve">S2 </w:t>
      </w:r>
      <w:r w:rsidR="002D2985">
        <w:rPr>
          <w:rFonts w:ascii="Arial" w:hAnsi="Arial" w:cs="Arial"/>
          <w:sz w:val="24"/>
          <w:szCs w:val="24"/>
          <w:lang w:val="en-US"/>
        </w:rPr>
        <w:t>Effects</w:t>
      </w:r>
      <w:r w:rsidR="006632F4">
        <w:rPr>
          <w:rFonts w:ascii="Arial" w:hAnsi="Arial" w:cs="Arial"/>
          <w:sz w:val="24"/>
          <w:szCs w:val="24"/>
          <w:lang w:val="en-US"/>
        </w:rPr>
        <w:t xml:space="preserve"> of QKI silencing on the replication of DENV4 and DENV2 viruses </w:t>
      </w:r>
    </w:p>
    <w:p w14:paraId="780DE2DE" w14:textId="09F8E277" w:rsidR="00BE0EC2" w:rsidRDefault="00BE0EC2" w:rsidP="00BE0EC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7B0007">
        <w:rPr>
          <w:rFonts w:ascii="Arial" w:hAnsi="Arial" w:cs="Arial"/>
          <w:sz w:val="24"/>
          <w:szCs w:val="24"/>
          <w:lang w:val="en-US"/>
        </w:rPr>
        <w:t>(A)(B)(C)</w:t>
      </w:r>
      <w:r w:rsidR="00B22851">
        <w:rPr>
          <w:rFonts w:ascii="Arial" w:hAnsi="Arial" w:cs="Arial"/>
          <w:sz w:val="24"/>
          <w:szCs w:val="24"/>
          <w:lang w:val="en-US"/>
        </w:rPr>
        <w:t>(D)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</w:t>
      </w:r>
      <w:r w:rsidR="00B22851">
        <w:rPr>
          <w:rFonts w:ascii="Arial" w:hAnsi="Arial" w:cs="Arial"/>
          <w:sz w:val="24"/>
          <w:szCs w:val="24"/>
          <w:lang w:val="en-US"/>
        </w:rPr>
        <w:t xml:space="preserve">HuH7 cells </w:t>
      </w:r>
      <w:r w:rsidRPr="007B0007">
        <w:rPr>
          <w:rFonts w:ascii="Arial" w:hAnsi="Arial" w:cs="Arial"/>
          <w:sz w:val="24"/>
          <w:szCs w:val="24"/>
          <w:lang w:val="en-US"/>
        </w:rPr>
        <w:t>were transfected with non-targeting control siRNA (NTC) or siRNAs targeting QKI (siQKI-</w:t>
      </w:r>
      <w:r w:rsidR="00B22851">
        <w:rPr>
          <w:rFonts w:ascii="Arial" w:hAnsi="Arial" w:cs="Arial"/>
          <w:sz w:val="24"/>
          <w:szCs w:val="24"/>
          <w:lang w:val="en-US"/>
        </w:rPr>
        <w:t>1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and siQKI-</w:t>
      </w:r>
      <w:r w:rsidR="00B22851">
        <w:rPr>
          <w:rFonts w:ascii="Arial" w:hAnsi="Arial" w:cs="Arial"/>
          <w:sz w:val="24"/>
          <w:szCs w:val="24"/>
          <w:lang w:val="en-US"/>
        </w:rPr>
        <w:t>2</w:t>
      </w:r>
      <w:r w:rsidRPr="007B0007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and, 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48 hours </w:t>
      </w:r>
      <w:r>
        <w:rPr>
          <w:rFonts w:ascii="Arial" w:hAnsi="Arial" w:cs="Arial"/>
          <w:sz w:val="24"/>
          <w:szCs w:val="24"/>
          <w:lang w:val="en-US"/>
        </w:rPr>
        <w:t xml:space="preserve">later, 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cells were infected with wild type DENV4 viruses </w:t>
      </w:r>
      <w:r w:rsidR="00B22851">
        <w:rPr>
          <w:rFonts w:ascii="Arial" w:hAnsi="Arial" w:cs="Arial"/>
          <w:sz w:val="24"/>
          <w:szCs w:val="24"/>
          <w:lang w:val="en-US"/>
        </w:rPr>
        <w:t xml:space="preserve">at MOI=0.5 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or </w:t>
      </w:r>
      <w:r w:rsidR="00B22851">
        <w:rPr>
          <w:rFonts w:ascii="Arial" w:hAnsi="Arial" w:cs="Arial"/>
          <w:sz w:val="24"/>
          <w:szCs w:val="24"/>
          <w:lang w:val="en-US"/>
        </w:rPr>
        <w:t xml:space="preserve">DENV2 </w:t>
      </w:r>
      <w:r w:rsidRPr="007B0007">
        <w:rPr>
          <w:rFonts w:ascii="Arial" w:hAnsi="Arial" w:cs="Arial"/>
          <w:sz w:val="24"/>
          <w:szCs w:val="24"/>
          <w:lang w:val="en-US"/>
        </w:rPr>
        <w:t>viruses</w:t>
      </w:r>
      <w:r w:rsidR="00B22851">
        <w:rPr>
          <w:rFonts w:ascii="Arial" w:hAnsi="Arial" w:cs="Arial"/>
          <w:sz w:val="24"/>
          <w:szCs w:val="24"/>
          <w:lang w:val="en-US"/>
        </w:rPr>
        <w:t xml:space="preserve"> at MOI=10. </w:t>
      </w:r>
      <w:r w:rsidR="00B22851" w:rsidRPr="007B0007">
        <w:rPr>
          <w:rFonts w:ascii="Arial" w:hAnsi="Arial" w:cs="Arial"/>
          <w:sz w:val="24"/>
          <w:szCs w:val="24"/>
          <w:lang w:val="en-US"/>
        </w:rPr>
        <w:t>Twenty-four hours post-DENV4 infection and 48 hours post-DENV2 infection, supernatants were collected and viral titer was determined by focus formation assay</w:t>
      </w:r>
      <w:r w:rsidR="00B22851">
        <w:rPr>
          <w:rFonts w:ascii="Arial" w:hAnsi="Arial" w:cs="Arial"/>
          <w:sz w:val="24"/>
          <w:szCs w:val="24"/>
          <w:lang w:val="en-US"/>
        </w:rPr>
        <w:t>. C</w:t>
      </w:r>
      <w:r w:rsidR="00B22851" w:rsidRPr="007B0007">
        <w:rPr>
          <w:rFonts w:ascii="Arial" w:hAnsi="Arial" w:cs="Arial"/>
          <w:sz w:val="24"/>
          <w:szCs w:val="24"/>
          <w:lang w:val="en-US"/>
        </w:rPr>
        <w:t>ells were harvested for total RNA extraction</w:t>
      </w:r>
      <w:r w:rsidR="00B22851">
        <w:rPr>
          <w:rFonts w:ascii="Arial" w:hAnsi="Arial" w:cs="Arial"/>
          <w:sz w:val="24"/>
          <w:szCs w:val="24"/>
          <w:lang w:val="en-US"/>
        </w:rPr>
        <w:t xml:space="preserve"> and l</w:t>
      </w:r>
      <w:r w:rsidR="00B22851" w:rsidRPr="007B0007">
        <w:rPr>
          <w:rFonts w:ascii="Arial" w:hAnsi="Arial" w:cs="Arial"/>
          <w:sz w:val="24"/>
          <w:szCs w:val="24"/>
          <w:lang w:val="en-US"/>
        </w:rPr>
        <w:t>evels of viral RNA accumulation were measured by RT-qPCR using primers that amplify a region in the middle of the viral coding sequence (gRNA)</w:t>
      </w:r>
      <w:r w:rsidR="00B22851">
        <w:rPr>
          <w:rFonts w:ascii="Arial" w:hAnsi="Arial" w:cs="Arial"/>
          <w:sz w:val="24"/>
          <w:szCs w:val="24"/>
          <w:lang w:val="en-US"/>
        </w:rPr>
        <w:t xml:space="preserve">. Each point represents one biological replicate. 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Statistical significance was determined using a two-tailed </w:t>
      </w:r>
      <w:r w:rsidRPr="007B0007">
        <w:rPr>
          <w:rFonts w:ascii="Arial" w:hAnsi="Arial" w:cs="Arial"/>
          <w:i/>
          <w:sz w:val="24"/>
          <w:szCs w:val="24"/>
          <w:lang w:val="en-US"/>
        </w:rPr>
        <w:t>t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test: 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Arial" w:hAnsi="Arial" w:cs="Arial"/>
          <w:sz w:val="24"/>
          <w:szCs w:val="24"/>
          <w:lang w:val="en-US"/>
        </w:rPr>
        <w:t>, p˂0.05</w:t>
      </w:r>
      <w:r>
        <w:rPr>
          <w:rFonts w:ascii="Arial" w:hAnsi="Arial" w:cs="Arial"/>
          <w:sz w:val="24"/>
          <w:szCs w:val="24"/>
          <w:lang w:val="en-US"/>
        </w:rPr>
        <w:t xml:space="preserve">; 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, p˂0.01; 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Arial" w:hAnsi="Arial" w:cs="Arial"/>
          <w:sz w:val="24"/>
          <w:szCs w:val="24"/>
          <w:lang w:val="en-US"/>
        </w:rPr>
        <w:t>, p˂0.001. Error bars indicate S.E.M.</w:t>
      </w:r>
    </w:p>
    <w:p w14:paraId="72E45C54" w14:textId="6600CDB3" w:rsidR="00B22851" w:rsidRPr="007B0007" w:rsidRDefault="00B22851" w:rsidP="00B22851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5. Fig. S3 </w:t>
      </w:r>
      <w:r w:rsidRPr="007B0007">
        <w:rPr>
          <w:rFonts w:ascii="Arial" w:hAnsi="Arial" w:cs="Arial"/>
          <w:sz w:val="24"/>
          <w:szCs w:val="24"/>
          <w:lang w:val="en-US"/>
        </w:rPr>
        <w:t>Functional characterization of QRE in DENV 3</w:t>
      </w:r>
      <w:r w:rsidRPr="007B0007">
        <w:rPr>
          <w:rFonts w:ascii="Arial" w:hAnsi="Arial" w:cs="Arial"/>
          <w:i/>
          <w:sz w:val="24"/>
          <w:szCs w:val="24"/>
        </w:rPr>
        <w:t>ʹ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UTR</w:t>
      </w:r>
    </w:p>
    <w:p w14:paraId="6132625C" w14:textId="4F1F7386" w:rsidR="00B22851" w:rsidRDefault="00907D2F" w:rsidP="00BE0EC2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(A)(B)</w:t>
      </w:r>
      <w:r w:rsidR="00B22851" w:rsidRPr="007B0007">
        <w:rPr>
          <w:rFonts w:ascii="Arial" w:hAnsi="Arial" w:cs="Arial"/>
          <w:sz w:val="24"/>
          <w:szCs w:val="24"/>
          <w:lang w:val="en-US"/>
        </w:rPr>
        <w:t xml:space="preserve"> HuH7</w:t>
      </w:r>
      <w:r w:rsidR="00B22851">
        <w:rPr>
          <w:rFonts w:ascii="Arial" w:hAnsi="Arial" w:cs="Arial"/>
          <w:sz w:val="24"/>
          <w:szCs w:val="24"/>
          <w:lang w:val="en-US"/>
        </w:rPr>
        <w:t xml:space="preserve"> cells </w:t>
      </w:r>
      <w:r w:rsidR="00B22851" w:rsidRPr="007B0007">
        <w:rPr>
          <w:rFonts w:ascii="Arial" w:hAnsi="Arial" w:cs="Arial"/>
          <w:sz w:val="24"/>
          <w:szCs w:val="24"/>
          <w:lang w:val="en-US"/>
        </w:rPr>
        <w:t xml:space="preserve">were infected with wild type DENV4 viruses(DENV4-WT) or mutant DENV4 viruses(DENV4-mut8) at MOI=0.5. Twenty-four hours post-infection, </w:t>
      </w:r>
      <w:r w:rsidR="00B22851">
        <w:rPr>
          <w:rFonts w:ascii="Arial" w:eastAsia="新細明體" w:hAnsi="Arial" w:cs="Arial"/>
          <w:sz w:val="24"/>
          <w:szCs w:val="24"/>
          <w:lang w:val="en-US" w:eastAsia="zh-TW"/>
        </w:rPr>
        <w:lastRenderedPageBreak/>
        <w:t>s</w:t>
      </w:r>
      <w:r w:rsidR="00B22851" w:rsidRPr="007B0007">
        <w:rPr>
          <w:rFonts w:ascii="Arial" w:hAnsi="Arial" w:cs="Arial"/>
          <w:sz w:val="24"/>
          <w:szCs w:val="24"/>
          <w:lang w:val="en-US"/>
        </w:rPr>
        <w:t>upernatants were collected and titer was measured by focus formation assay.</w:t>
      </w:r>
      <w:r w:rsidR="00B22851">
        <w:rPr>
          <w:rFonts w:ascii="Arial" w:eastAsia="新細明體" w:hAnsi="Arial" w:cs="Arial"/>
          <w:sz w:val="24"/>
          <w:szCs w:val="24"/>
          <w:lang w:val="en-US" w:eastAsia="zh-TW"/>
        </w:rPr>
        <w:t xml:space="preserve"> T</w:t>
      </w:r>
      <w:r w:rsidR="00B22851" w:rsidRPr="007B0007">
        <w:rPr>
          <w:rFonts w:ascii="Arial" w:hAnsi="Arial" w:cs="Arial"/>
          <w:sz w:val="24"/>
          <w:szCs w:val="24"/>
          <w:lang w:val="en-US"/>
        </w:rPr>
        <w:t>otal RNA was isolated from infected cells and analyzed by RT-qPCR using primers that amplify a region in the middle of the viral coding sequence (gRNA)</w:t>
      </w:r>
      <w:r w:rsidR="00B22851" w:rsidRPr="007B0007">
        <w:rPr>
          <w:rFonts w:ascii="Arial" w:eastAsia="新細明體" w:hAnsi="Arial" w:cs="Arial" w:hint="eastAsia"/>
          <w:sz w:val="24"/>
          <w:szCs w:val="24"/>
          <w:lang w:val="en-US" w:eastAsia="zh-TW"/>
        </w:rPr>
        <w:t xml:space="preserve">. </w:t>
      </w:r>
      <w:r>
        <w:rPr>
          <w:rFonts w:ascii="Arial" w:eastAsia="新細明體" w:hAnsi="Arial" w:cs="Arial"/>
          <w:sz w:val="24"/>
          <w:szCs w:val="24"/>
          <w:lang w:val="en-US" w:eastAsia="zh-TW"/>
        </w:rPr>
        <w:t>(C)(D)</w:t>
      </w:r>
      <w:r w:rsidR="00B22851">
        <w:rPr>
          <w:rFonts w:ascii="Arial" w:hAnsi="Arial" w:cs="Arial"/>
          <w:sz w:val="24"/>
          <w:szCs w:val="24"/>
          <w:lang w:val="en-US"/>
        </w:rPr>
        <w:t>,</w:t>
      </w:r>
      <w:r w:rsidR="00B22851" w:rsidRPr="007B0007">
        <w:rPr>
          <w:rFonts w:ascii="Arial" w:hAnsi="Arial" w:cs="Arial"/>
          <w:sz w:val="24"/>
          <w:szCs w:val="24"/>
          <w:lang w:val="en-US"/>
        </w:rPr>
        <w:t xml:space="preserve"> </w:t>
      </w:r>
      <w:r w:rsidR="00B22851">
        <w:rPr>
          <w:rFonts w:ascii="Arial" w:hAnsi="Arial" w:cs="Arial"/>
          <w:sz w:val="24"/>
          <w:szCs w:val="24"/>
          <w:lang w:val="en-US"/>
        </w:rPr>
        <w:t>HuH7</w:t>
      </w:r>
      <w:r w:rsidR="00B22851" w:rsidRPr="007B0007">
        <w:rPr>
          <w:rFonts w:ascii="Arial" w:hAnsi="Arial" w:cs="Arial"/>
          <w:sz w:val="24"/>
          <w:szCs w:val="24"/>
          <w:lang w:val="en-US"/>
        </w:rPr>
        <w:t xml:space="preserve"> cells were infected with wild type DENV2 viruses(DENV2-WT) or mutant DENV2 viruses(DENV2-mut1) at MOI=10. Two days post-infection, samples were collected and analyzed as described above. </w:t>
      </w:r>
      <w:r w:rsidR="00B22851">
        <w:rPr>
          <w:rFonts w:ascii="Arial" w:hAnsi="Arial" w:cs="Arial"/>
          <w:sz w:val="24"/>
          <w:szCs w:val="24"/>
          <w:lang w:val="en-US"/>
        </w:rPr>
        <w:t>(E) HuH7 cells were infected with DENV2 WT or mut1 viruses at MOI=10. Supernatants were harvested at 1h, 48h and 96h post infection and titer was measured by focus formation assay. Each point represents one biological replicate</w:t>
      </w:r>
      <w:r w:rsidR="00B22851" w:rsidRPr="007B0007">
        <w:rPr>
          <w:rFonts w:ascii="Arial" w:hAnsi="Arial" w:cs="Arial"/>
          <w:sz w:val="24"/>
          <w:szCs w:val="24"/>
          <w:lang w:val="en-US"/>
        </w:rPr>
        <w:t xml:space="preserve">. Statistical significance was determined using a two-tailed </w:t>
      </w:r>
      <w:r w:rsidR="00B22851" w:rsidRPr="007B0007">
        <w:rPr>
          <w:rFonts w:ascii="Arial" w:hAnsi="Arial" w:cs="Arial"/>
          <w:i/>
          <w:sz w:val="24"/>
          <w:szCs w:val="24"/>
          <w:lang w:val="en-US"/>
        </w:rPr>
        <w:t>t</w:t>
      </w:r>
      <w:r w:rsidR="00B22851" w:rsidRPr="007B0007">
        <w:rPr>
          <w:rFonts w:ascii="Arial" w:hAnsi="Arial" w:cs="Arial"/>
          <w:sz w:val="24"/>
          <w:szCs w:val="24"/>
          <w:lang w:val="en-US"/>
        </w:rPr>
        <w:t xml:space="preserve"> test:</w:t>
      </w:r>
      <w:r w:rsidR="00B22851">
        <w:rPr>
          <w:rFonts w:ascii="Arial" w:hAnsi="Arial" w:cs="Arial"/>
          <w:sz w:val="24"/>
          <w:szCs w:val="24"/>
          <w:lang w:val="en-US"/>
        </w:rPr>
        <w:t xml:space="preserve"> </w:t>
      </w:r>
      <w:r w:rsidR="00B22851" w:rsidRPr="007B0007">
        <w:rPr>
          <w:rFonts w:ascii="Symbol" w:hAnsi="Symbol" w:cs="Arial"/>
          <w:sz w:val="24"/>
          <w:szCs w:val="24"/>
          <w:lang w:val="en-US"/>
        </w:rPr>
        <w:t></w:t>
      </w:r>
      <w:r w:rsidR="00B22851" w:rsidRPr="007B0007">
        <w:rPr>
          <w:rFonts w:ascii="Symbol" w:hAnsi="Symbol" w:cs="Arial"/>
          <w:sz w:val="24"/>
          <w:szCs w:val="24"/>
          <w:lang w:val="en-US"/>
        </w:rPr>
        <w:t></w:t>
      </w:r>
      <w:r w:rsidR="00B22851" w:rsidRPr="007B0007">
        <w:rPr>
          <w:rFonts w:ascii="Arial" w:hAnsi="Arial" w:cs="Arial"/>
          <w:sz w:val="24"/>
          <w:szCs w:val="24"/>
          <w:lang w:val="en-US"/>
        </w:rPr>
        <w:t xml:space="preserve">, p˂0.01; </w:t>
      </w:r>
      <w:r w:rsidR="00B22851" w:rsidRPr="007B0007">
        <w:rPr>
          <w:rFonts w:ascii="Symbol" w:hAnsi="Symbol" w:cs="Arial"/>
          <w:sz w:val="24"/>
          <w:szCs w:val="24"/>
          <w:lang w:val="en-US"/>
        </w:rPr>
        <w:t></w:t>
      </w:r>
      <w:r w:rsidR="00B22851" w:rsidRPr="007B0007">
        <w:rPr>
          <w:rFonts w:ascii="Symbol" w:hAnsi="Symbol" w:cs="Arial"/>
          <w:sz w:val="24"/>
          <w:szCs w:val="24"/>
          <w:lang w:val="en-US"/>
        </w:rPr>
        <w:t></w:t>
      </w:r>
      <w:r w:rsidR="00B22851" w:rsidRPr="007B0007">
        <w:rPr>
          <w:rFonts w:ascii="Symbol" w:hAnsi="Symbol" w:cs="Arial"/>
          <w:sz w:val="24"/>
          <w:szCs w:val="24"/>
          <w:lang w:val="en-US"/>
        </w:rPr>
        <w:t></w:t>
      </w:r>
      <w:r w:rsidR="00B22851" w:rsidRPr="007B0007">
        <w:rPr>
          <w:rFonts w:ascii="Arial" w:hAnsi="Arial" w:cs="Arial"/>
          <w:sz w:val="24"/>
          <w:szCs w:val="24"/>
          <w:lang w:val="en-US"/>
        </w:rPr>
        <w:t>, p˂0.001. Error bars indicate S.E.M.</w:t>
      </w:r>
    </w:p>
    <w:p w14:paraId="470CFE2E" w14:textId="55B94103" w:rsidR="00B22851" w:rsidRPr="007B0007" w:rsidRDefault="00B22851" w:rsidP="00B22851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7B0007">
        <w:rPr>
          <w:rFonts w:ascii="Arial" w:hAnsi="Arial" w:cs="Arial"/>
          <w:sz w:val="24"/>
          <w:szCs w:val="24"/>
          <w:lang w:val="en-US"/>
        </w:rPr>
        <w:t xml:space="preserve">Fig. </w:t>
      </w:r>
      <w:r>
        <w:rPr>
          <w:rFonts w:ascii="Arial" w:hAnsi="Arial" w:cs="Arial"/>
          <w:sz w:val="24"/>
          <w:szCs w:val="24"/>
          <w:lang w:val="en-US"/>
        </w:rPr>
        <w:t>S4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Effects of QRE in DENV4 3</w:t>
      </w:r>
      <w:r w:rsidRPr="007B0007">
        <w:rPr>
          <w:rFonts w:ascii="Arial" w:hAnsi="Arial" w:cs="Arial"/>
          <w:i/>
          <w:sz w:val="24"/>
          <w:szCs w:val="24"/>
        </w:rPr>
        <w:t>ʹ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UTR on relative translation efficiency </w:t>
      </w:r>
    </w:p>
    <w:p w14:paraId="3A760B81" w14:textId="180FA97C" w:rsidR="001A0C51" w:rsidRDefault="00B22851" w:rsidP="00F9773E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7B0007">
        <w:rPr>
          <w:rFonts w:ascii="Arial" w:hAnsi="Arial" w:cs="Arial"/>
          <w:sz w:val="24"/>
          <w:szCs w:val="24"/>
          <w:lang w:val="en-US"/>
        </w:rPr>
        <w:t>(A) Plasmids containing R Luc sequences and indicated DENV</w:t>
      </w:r>
      <w:r w:rsidRPr="007B0007">
        <w:rPr>
          <w:rFonts w:ascii="Arial" w:eastAsia="新細明體" w:hAnsi="Arial" w:cs="Arial" w:hint="eastAsia"/>
          <w:sz w:val="24"/>
          <w:szCs w:val="24"/>
          <w:lang w:val="en-US" w:eastAsia="zh-TW"/>
        </w:rPr>
        <w:t>4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3</w:t>
      </w:r>
      <w:r w:rsidRPr="007B0007">
        <w:rPr>
          <w:rFonts w:ascii="Arial" w:hAnsi="Arial" w:cs="Arial"/>
          <w:i/>
          <w:sz w:val="24"/>
          <w:szCs w:val="24"/>
        </w:rPr>
        <w:t>ʹ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 UTR sequences were co-transfected with F Luc plasmids into HuH7 cells. One day after transfection, cells were lysed and luciferase activity was measured using </w:t>
      </w:r>
      <w:r w:rsidRPr="007B0007">
        <w:rPr>
          <w:rFonts w:ascii="Arial" w:hAnsi="Arial"/>
          <w:sz w:val="24"/>
          <w:szCs w:val="24"/>
        </w:rPr>
        <w:t>Dual Luciferase Reporter Assay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. (B) HuH7 cells were co-transfected with indicated R Luc reporter plasmids with F Luc plasmids. Approximately 24 hours after transfection, total RNA was isolated from transfected cells and was analyzed by RT-qPCR using primers that are specific for R Luc or F Luc. (C) To measure the relative translation efficiency, the normalized relative luciferase activity was divided by the normalized relative abundance of RNA level. </w:t>
      </w:r>
      <w:r>
        <w:rPr>
          <w:rFonts w:ascii="Arial" w:hAnsi="Arial" w:cs="Arial"/>
          <w:sz w:val="24"/>
          <w:szCs w:val="24"/>
          <w:lang w:val="en-US"/>
        </w:rPr>
        <w:t>Each experiment</w:t>
      </w:r>
      <w:r w:rsidR="008973DE">
        <w:rPr>
          <w:rFonts w:ascii="Arial" w:hAnsi="Arial" w:cs="Arial"/>
          <w:sz w:val="24"/>
          <w:szCs w:val="24"/>
          <w:lang w:val="en-US"/>
        </w:rPr>
        <w:t xml:space="preserve">, </w:t>
      </w:r>
      <w:r w:rsidR="00983B5A">
        <w:rPr>
          <w:rFonts w:ascii="Arial" w:hAnsi="Arial" w:cs="Arial"/>
          <w:sz w:val="24"/>
          <w:szCs w:val="24"/>
          <w:lang w:val="en-US"/>
        </w:rPr>
        <w:t xml:space="preserve">in biological triplicates, </w:t>
      </w:r>
      <w:r>
        <w:rPr>
          <w:rFonts w:ascii="Arial" w:hAnsi="Arial" w:cs="Arial"/>
          <w:sz w:val="24"/>
          <w:szCs w:val="24"/>
          <w:lang w:val="en-US"/>
        </w:rPr>
        <w:t xml:space="preserve">was repeated </w:t>
      </w:r>
      <w:r w:rsidR="006E6B66">
        <w:rPr>
          <w:rFonts w:ascii="Arial" w:hAnsi="Arial" w:cs="Arial"/>
          <w:sz w:val="24"/>
          <w:szCs w:val="24"/>
          <w:lang w:val="en-US"/>
        </w:rPr>
        <w:t>two</w:t>
      </w:r>
      <w:r>
        <w:rPr>
          <w:rFonts w:ascii="Arial" w:hAnsi="Arial" w:cs="Arial"/>
          <w:sz w:val="24"/>
          <w:szCs w:val="24"/>
          <w:lang w:val="en-US"/>
        </w:rPr>
        <w:t xml:space="preserve"> times. Data are presented </w:t>
      </w:r>
      <w:r w:rsidR="000F39BC">
        <w:rPr>
          <w:rFonts w:ascii="Arial" w:hAnsi="Arial" w:cs="Arial"/>
          <w:sz w:val="24"/>
          <w:szCs w:val="24"/>
          <w:lang w:val="en-US"/>
        </w:rPr>
        <w:t xml:space="preserve">both </w:t>
      </w:r>
      <w:r>
        <w:rPr>
          <w:rFonts w:ascii="Arial" w:hAnsi="Arial" w:cs="Arial"/>
          <w:sz w:val="24"/>
          <w:szCs w:val="24"/>
          <w:lang w:val="en-US"/>
        </w:rPr>
        <w:t>in bar graphs (left) and in scatter plots (right). In the scatter plot, each point represents one biological replicate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. Statistical significance was determined using a two-tailed t test: 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Arial" w:hAnsi="Arial" w:cs="Arial"/>
          <w:sz w:val="24"/>
          <w:szCs w:val="24"/>
          <w:lang w:val="en-US"/>
        </w:rPr>
        <w:t xml:space="preserve">, p˂0.05; 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Symbol" w:hAnsi="Symbol" w:cs="Arial"/>
          <w:sz w:val="24"/>
          <w:szCs w:val="24"/>
          <w:lang w:val="en-US"/>
        </w:rPr>
        <w:t></w:t>
      </w:r>
      <w:r w:rsidRPr="007B0007">
        <w:rPr>
          <w:rFonts w:ascii="Arial" w:hAnsi="Arial" w:cs="Arial"/>
          <w:sz w:val="24"/>
          <w:szCs w:val="24"/>
          <w:lang w:val="en-US"/>
        </w:rPr>
        <w:t>, p˂0.01. Error bars indicate S.E.M.</w:t>
      </w:r>
      <w:r w:rsidR="00A633A4" w:rsidRPr="00F106D4">
        <w:rPr>
          <w:rFonts w:ascii="Arial" w:hAnsi="Arial" w:cs="Arial"/>
          <w:sz w:val="20"/>
          <w:szCs w:val="20"/>
          <w:lang w:val="en-US"/>
        </w:rPr>
        <w:fldChar w:fldCharType="end"/>
      </w:r>
    </w:p>
    <w:p w14:paraId="2BE5B145" w14:textId="77777777" w:rsidR="001A0C51" w:rsidRDefault="001A0C5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br w:type="page"/>
      </w:r>
    </w:p>
    <w:p w14:paraId="6FF7FF72" w14:textId="7D00679D" w:rsidR="001A0C51" w:rsidRPr="001A0C51" w:rsidRDefault="001A0C51" w:rsidP="00F9773E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1A0C51">
        <w:rPr>
          <w:rFonts w:ascii="Arial" w:hAnsi="Arial" w:cs="Arial"/>
          <w:b/>
          <w:sz w:val="24"/>
          <w:szCs w:val="24"/>
          <w:lang w:val="en-US"/>
        </w:rPr>
        <w:lastRenderedPageBreak/>
        <w:t>Supplementary methods</w:t>
      </w:r>
    </w:p>
    <w:p w14:paraId="514E8B6A" w14:textId="3AD1D2B5" w:rsidR="001A0C51" w:rsidRPr="001A0C51" w:rsidRDefault="001A0C51" w:rsidP="00F9773E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Plasmids</w:t>
      </w:r>
      <w:bookmarkStart w:id="0" w:name="_GoBack"/>
      <w:r w:rsidRPr="001A0C51">
        <w:rPr>
          <w:rFonts w:ascii="Arial" w:hAnsi="Arial" w:cs="Arial"/>
          <w:sz w:val="24"/>
          <w:szCs w:val="24"/>
          <w:lang w:val="en-US"/>
        </w:rPr>
        <w:t>.</w:t>
      </w:r>
      <w:bookmarkEnd w:id="0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A0C51">
        <w:rPr>
          <w:rFonts w:ascii="Arial" w:hAnsi="Arial" w:cs="Arial"/>
          <w:sz w:val="24"/>
          <w:szCs w:val="24"/>
          <w:lang w:val="en-US"/>
        </w:rPr>
        <w:t xml:space="preserve">Firefly luciferase gene (F Luc) was amplified using forward primer 5ʹ - CGC GCT AGC ATG GAA GAC GCC AAA AAC - 3ʹ and reverse primer 5ʹ - CGC GGA TCC TTA CAA TTT GGA CTT TCC GCC -3ʹ. The PCR product was digested with 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NheI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BamHI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 xml:space="preserve"> sites and then ligated into pcDNA3 plasmids. 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Renilla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 xml:space="preserve"> luciferase gene (R Luc) was amplified using forward primer 5ʹ - CGC GCT AGC ATG ACT TCG AAA GTT TAT G - 3ʹ and reverse primer 5ʹ - CGC GGA TCC TTA TTG TTC ATT TTT GAG - 3ʹ. The PCR product was digested with 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NheI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BamHI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 xml:space="preserve"> and then ligated into pcDNA3 plasmids to generate pcDNA3-R Luc construct. To make R Luc reporter plasmids, various DENV 3ʹ UTR fragments were amplified as described in the main materials and methods section. The PCR products were digested with 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BamHI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XhoI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 xml:space="preserve"> and then ligated into pcDNA3-R Luc plasmids.</w:t>
      </w:r>
    </w:p>
    <w:p w14:paraId="25CE78E3" w14:textId="7D4814AF" w:rsidR="001A0C51" w:rsidRPr="001A0C51" w:rsidRDefault="001A0C51" w:rsidP="00F9773E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1A0C51">
        <w:rPr>
          <w:rFonts w:ascii="Arial" w:hAnsi="Arial" w:cs="Arial"/>
          <w:sz w:val="24"/>
          <w:szCs w:val="24"/>
          <w:u w:val="single"/>
          <w:lang w:val="en-US"/>
        </w:rPr>
        <w:t>Reporter assays</w:t>
      </w:r>
      <w:r w:rsidRPr="001A0C51">
        <w:rPr>
          <w:rFonts w:ascii="Arial" w:hAnsi="Arial" w:cs="Arial"/>
          <w:sz w:val="24"/>
          <w:szCs w:val="24"/>
          <w:lang w:val="en-US"/>
        </w:rPr>
        <w:t xml:space="preserve">. HuH-7 cells were seeded at 1x104 cells per well in 96-well plates the day before transfection. Cells were co-transfected with 50ng indicated R Luc reporter plasmids and 10ng F Luc plasmids using 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Lipofectamine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 xml:space="preserve"> 3000 (Invitrogen). Approximately 24 hours after transfection, transfected cells were lysed and the luciferase activity was measured using Dual Luciferase Reporter Assay (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Promega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>) according to manufacturer’s protocol with a Spark microplate reader (</w:t>
      </w:r>
      <w:proofErr w:type="spellStart"/>
      <w:r w:rsidRPr="001A0C51">
        <w:rPr>
          <w:rFonts w:ascii="Arial" w:hAnsi="Arial" w:cs="Arial"/>
          <w:sz w:val="24"/>
          <w:szCs w:val="24"/>
          <w:lang w:val="en-US"/>
        </w:rPr>
        <w:t>Tecan</w:t>
      </w:r>
      <w:proofErr w:type="spellEnd"/>
      <w:r w:rsidRPr="001A0C51">
        <w:rPr>
          <w:rFonts w:ascii="Arial" w:hAnsi="Arial" w:cs="Arial"/>
          <w:sz w:val="24"/>
          <w:szCs w:val="24"/>
          <w:lang w:val="en-US"/>
        </w:rPr>
        <w:t>). To evaluate the reporter expression at the transcriptional level, 250ng indicated R Luc reporter plasmids and 50ng F Luc plasmids were co-transfected into HuH7 cells seeded in 24-well plates. One day after transfection, total RNA was isolated and analyzed by RT-qPCR.</w:t>
      </w:r>
    </w:p>
    <w:sectPr w:rsidR="001A0C51" w:rsidRPr="001A0C51" w:rsidSect="0060622F">
      <w:headerReference w:type="default" r:id="rId6"/>
      <w:pgSz w:w="11906" w:h="16838"/>
      <w:pgMar w:top="1440" w:right="141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93048" w14:textId="77777777" w:rsidR="00B55A53" w:rsidRDefault="00B55A53">
      <w:pPr>
        <w:spacing w:after="0" w:line="240" w:lineRule="auto"/>
      </w:pPr>
      <w:r>
        <w:separator/>
      </w:r>
    </w:p>
  </w:endnote>
  <w:endnote w:type="continuationSeparator" w:id="0">
    <w:p w14:paraId="3FBE56FF" w14:textId="77777777" w:rsidR="00B55A53" w:rsidRDefault="00B5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31EED" w14:textId="77777777" w:rsidR="00B55A53" w:rsidRDefault="00B55A53">
      <w:pPr>
        <w:spacing w:after="0" w:line="240" w:lineRule="auto"/>
      </w:pPr>
      <w:r>
        <w:separator/>
      </w:r>
    </w:p>
  </w:footnote>
  <w:footnote w:type="continuationSeparator" w:id="0">
    <w:p w14:paraId="3FB08AA6" w14:textId="77777777" w:rsidR="00B55A53" w:rsidRDefault="00B5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812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4184F" w14:textId="77777777" w:rsidR="0060622F" w:rsidRDefault="0060622F" w:rsidP="00A31B4F">
        <w:pPr>
          <w:pStyle w:val="Footer"/>
          <w:jc w:val="right"/>
        </w:pPr>
        <w:proofErr w:type="spellStart"/>
        <w:r>
          <w:t>Kuo-Chieh</w:t>
        </w:r>
        <w:proofErr w:type="spellEnd"/>
        <w:r>
          <w:t xml:space="preserve"> Liao 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0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F57413" w14:textId="77777777" w:rsidR="0060622F" w:rsidRDefault="00606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A4"/>
    <w:rsid w:val="00014D21"/>
    <w:rsid w:val="00046C17"/>
    <w:rsid w:val="000757A5"/>
    <w:rsid w:val="000F39BC"/>
    <w:rsid w:val="001432BF"/>
    <w:rsid w:val="00176DDE"/>
    <w:rsid w:val="001A0C51"/>
    <w:rsid w:val="001C4877"/>
    <w:rsid w:val="00215FB4"/>
    <w:rsid w:val="00256165"/>
    <w:rsid w:val="002D2985"/>
    <w:rsid w:val="00515293"/>
    <w:rsid w:val="0060622F"/>
    <w:rsid w:val="006632F4"/>
    <w:rsid w:val="00680869"/>
    <w:rsid w:val="006830D2"/>
    <w:rsid w:val="006A3B59"/>
    <w:rsid w:val="006E6B66"/>
    <w:rsid w:val="007944F0"/>
    <w:rsid w:val="008973DE"/>
    <w:rsid w:val="00907D2F"/>
    <w:rsid w:val="0093706E"/>
    <w:rsid w:val="00941245"/>
    <w:rsid w:val="00983B5A"/>
    <w:rsid w:val="00A31B4F"/>
    <w:rsid w:val="00A633A4"/>
    <w:rsid w:val="00A9319D"/>
    <w:rsid w:val="00B22851"/>
    <w:rsid w:val="00B55A53"/>
    <w:rsid w:val="00BE0EC2"/>
    <w:rsid w:val="00C21CED"/>
    <w:rsid w:val="00E72CBF"/>
    <w:rsid w:val="00E93A08"/>
    <w:rsid w:val="00EB223B"/>
    <w:rsid w:val="00F106D4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29C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3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33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3A4"/>
  </w:style>
  <w:style w:type="paragraph" w:styleId="BalloonText">
    <w:name w:val="Balloon Text"/>
    <w:basedOn w:val="Normal"/>
    <w:link w:val="BalloonTextChar"/>
    <w:uiPriority w:val="99"/>
    <w:semiHidden/>
    <w:unhideWhenUsed/>
    <w:rsid w:val="00A9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7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747</Words>
  <Characters>4261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</dc:creator>
  <cp:lastModifiedBy>Microsoft Office User</cp:lastModifiedBy>
  <cp:revision>14</cp:revision>
  <dcterms:created xsi:type="dcterms:W3CDTF">2017-11-06T14:45:00Z</dcterms:created>
  <dcterms:modified xsi:type="dcterms:W3CDTF">2018-03-02T06:34:00Z</dcterms:modified>
</cp:coreProperties>
</file>