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38" w:rsidRPr="00560810" w:rsidRDefault="00172A38" w:rsidP="00172A38">
      <w:pPr>
        <w:spacing w:line="480" w:lineRule="auto"/>
        <w:jc w:val="both"/>
        <w:rPr>
          <w:b/>
          <w:color w:val="000000" w:themeColor="text1"/>
          <w:sz w:val="28"/>
          <w:lang w:val="en-GB" w:eastAsia="zh-CN"/>
        </w:rPr>
      </w:pPr>
      <w:r>
        <w:rPr>
          <w:rFonts w:hint="eastAsia"/>
          <w:b/>
          <w:color w:val="000000" w:themeColor="text1"/>
          <w:sz w:val="28"/>
          <w:lang w:val="en-GB" w:eastAsia="zh-CN"/>
        </w:rPr>
        <w:t>Supplemental material</w:t>
      </w:r>
      <w:r w:rsidRPr="00560810">
        <w:rPr>
          <w:rFonts w:hint="eastAsia"/>
          <w:b/>
          <w:color w:val="000000" w:themeColor="text1"/>
          <w:sz w:val="28"/>
          <w:lang w:val="en-GB" w:eastAsia="zh-CN"/>
        </w:rPr>
        <w:t xml:space="preserve"> </w:t>
      </w:r>
    </w:p>
    <w:p w:rsidR="00172A38" w:rsidRPr="006F1F26" w:rsidRDefault="00172A38" w:rsidP="00172A38">
      <w:pPr>
        <w:spacing w:line="480" w:lineRule="auto"/>
        <w:jc w:val="both"/>
        <w:rPr>
          <w:lang w:val="en-GB" w:eastAsia="zh-CN"/>
        </w:rPr>
      </w:pPr>
      <w:r w:rsidRPr="00E51AA7">
        <w:rPr>
          <w:b/>
          <w:lang w:val="en-GB" w:eastAsia="zh-CN"/>
        </w:rPr>
        <w:t>Figure S1</w:t>
      </w:r>
      <w:r>
        <w:rPr>
          <w:rFonts w:hint="eastAsia"/>
          <w:b/>
          <w:lang w:val="en-GB" w:eastAsia="zh-CN"/>
        </w:rPr>
        <w:t xml:space="preserve">. </w:t>
      </w:r>
      <w:r w:rsidRPr="00E51AA7">
        <w:rPr>
          <w:b/>
          <w:lang w:val="en-GB" w:eastAsia="zh-CN"/>
        </w:rPr>
        <w:t xml:space="preserve"> </w:t>
      </w:r>
      <w:r w:rsidRPr="00E51AA7">
        <w:rPr>
          <w:lang w:val="en-GB" w:eastAsia="zh-CN"/>
        </w:rPr>
        <w:t xml:space="preserve">Identifying the homologues of seven </w:t>
      </w:r>
      <w:proofErr w:type="spellStart"/>
      <w:r w:rsidRPr="00E51AA7">
        <w:rPr>
          <w:lang w:val="en-GB" w:eastAsia="zh-CN"/>
        </w:rPr>
        <w:t>miRNAs</w:t>
      </w:r>
      <w:proofErr w:type="spellEnd"/>
      <w:r w:rsidRPr="00E51AA7">
        <w:rPr>
          <w:lang w:val="en-GB" w:eastAsia="zh-CN"/>
        </w:rPr>
        <w:t xml:space="preserve"> in insects. </w:t>
      </w:r>
      <w:r w:rsidRPr="00E51AA7">
        <w:rPr>
          <w:i/>
          <w:lang w:val="en-GB" w:eastAsia="zh-CN"/>
        </w:rPr>
        <w:t>Csu-miR-9b</w:t>
      </w:r>
      <w:r w:rsidRPr="00E51AA7">
        <w:rPr>
          <w:lang w:val="en-GB" w:eastAsia="zh-CN"/>
        </w:rPr>
        <w:t xml:space="preserve"> and </w:t>
      </w:r>
      <w:proofErr w:type="spellStart"/>
      <w:r w:rsidRPr="00E51AA7">
        <w:rPr>
          <w:i/>
          <w:lang w:val="en-GB" w:eastAsia="zh-CN"/>
        </w:rPr>
        <w:t>Csu</w:t>
      </w:r>
      <w:proofErr w:type="spellEnd"/>
      <w:r w:rsidRPr="00E51AA7">
        <w:rPr>
          <w:i/>
          <w:lang w:val="en-GB" w:eastAsia="zh-CN"/>
        </w:rPr>
        <w:t>-Bantam</w:t>
      </w:r>
      <w:r w:rsidRPr="00E51AA7">
        <w:rPr>
          <w:lang w:val="en-GB" w:eastAsia="zh-CN"/>
        </w:rPr>
        <w:t xml:space="preserve"> were conserved </w:t>
      </w:r>
      <w:proofErr w:type="spellStart"/>
      <w:r w:rsidRPr="00E51AA7">
        <w:rPr>
          <w:lang w:val="en-GB" w:eastAsia="zh-CN"/>
        </w:rPr>
        <w:t>miRNAs</w:t>
      </w:r>
      <w:proofErr w:type="spellEnd"/>
      <w:r w:rsidRPr="00E51AA7">
        <w:rPr>
          <w:lang w:val="en-GB" w:eastAsia="zh-CN"/>
        </w:rPr>
        <w:t xml:space="preserve"> whose homologues could be found in many insects. However, other </w:t>
      </w:r>
      <w:proofErr w:type="spellStart"/>
      <w:r w:rsidRPr="00E51AA7">
        <w:rPr>
          <w:lang w:val="en-GB" w:eastAsia="zh-CN"/>
        </w:rPr>
        <w:t>miRNAs</w:t>
      </w:r>
      <w:proofErr w:type="spellEnd"/>
      <w:r w:rsidRPr="00E51AA7">
        <w:rPr>
          <w:lang w:val="en-GB" w:eastAsia="zh-CN"/>
        </w:rPr>
        <w:t xml:space="preserve"> were lineage specific and </w:t>
      </w:r>
      <w:r>
        <w:rPr>
          <w:i/>
          <w:lang w:val="en-GB" w:eastAsia="zh-CN"/>
        </w:rPr>
        <w:t>Csu-novel-260</w:t>
      </w:r>
      <w:r w:rsidRPr="00E51AA7">
        <w:rPr>
          <w:lang w:val="en-GB" w:eastAsia="zh-CN"/>
        </w:rPr>
        <w:t xml:space="preserve"> might be species specific, and no homologues in other insects were found. </w:t>
      </w:r>
    </w:p>
    <w:p w:rsidR="00172A38" w:rsidRDefault="00172A38" w:rsidP="00172A38">
      <w:pPr>
        <w:spacing w:line="480" w:lineRule="auto"/>
        <w:jc w:val="both"/>
        <w:rPr>
          <w:lang w:val="en-GB" w:eastAsia="zh-CN"/>
        </w:rPr>
      </w:pPr>
      <w:r w:rsidRPr="00E51AA7">
        <w:rPr>
          <w:b/>
          <w:lang w:val="en-GB" w:eastAsia="zh-CN"/>
        </w:rPr>
        <w:t>Figure S2</w:t>
      </w:r>
      <w:r>
        <w:rPr>
          <w:b/>
          <w:lang w:val="en-GB" w:eastAsia="zh-CN"/>
        </w:rPr>
        <w:t>.</w:t>
      </w:r>
      <w:r w:rsidRPr="00E51AA7">
        <w:rPr>
          <w:lang w:val="en-GB" w:eastAsia="zh-CN"/>
        </w:rPr>
        <w:t xml:space="preserve"> The predicted </w:t>
      </w:r>
      <w:proofErr w:type="spellStart"/>
      <w:r w:rsidRPr="00E51AA7">
        <w:rPr>
          <w:lang w:val="en-GB" w:eastAsia="zh-CN"/>
        </w:rPr>
        <w:t>ecdysteroid</w:t>
      </w:r>
      <w:proofErr w:type="spellEnd"/>
      <w:r w:rsidRPr="00E51AA7">
        <w:rPr>
          <w:lang w:val="en-GB" w:eastAsia="zh-CN"/>
        </w:rPr>
        <w:t xml:space="preserve"> biosynthesis regulatory network mediated by multiple </w:t>
      </w:r>
      <w:proofErr w:type="spellStart"/>
      <w:r w:rsidRPr="00E51AA7">
        <w:rPr>
          <w:lang w:val="en-GB" w:eastAsia="zh-CN"/>
        </w:rPr>
        <w:t>miRNAs</w:t>
      </w:r>
      <w:proofErr w:type="spellEnd"/>
      <w:r w:rsidRPr="00E51AA7">
        <w:rPr>
          <w:lang w:val="en-GB" w:eastAsia="zh-CN"/>
        </w:rPr>
        <w:t xml:space="preserve"> in</w:t>
      </w:r>
      <w:r w:rsidRPr="00E51AA7">
        <w:rPr>
          <w:i/>
          <w:lang w:val="en-GB" w:eastAsia="zh-CN"/>
        </w:rPr>
        <w:t xml:space="preserve"> D. melanogaster </w:t>
      </w:r>
      <w:r w:rsidRPr="00E51AA7">
        <w:rPr>
          <w:lang w:val="en-GB" w:eastAsia="zh-CN"/>
        </w:rPr>
        <w:t xml:space="preserve">and </w:t>
      </w:r>
      <w:r w:rsidRPr="00E51AA7">
        <w:rPr>
          <w:i/>
          <w:lang w:val="en-GB" w:eastAsia="zh-CN"/>
        </w:rPr>
        <w:t xml:space="preserve">B. </w:t>
      </w:r>
      <w:proofErr w:type="spellStart"/>
      <w:r w:rsidRPr="00E51AA7">
        <w:rPr>
          <w:i/>
          <w:lang w:val="en-GB" w:eastAsia="zh-CN"/>
        </w:rPr>
        <w:t>mori</w:t>
      </w:r>
      <w:proofErr w:type="spellEnd"/>
      <w:r w:rsidRPr="00E51AA7">
        <w:rPr>
          <w:lang w:val="en-GB" w:eastAsia="zh-CN"/>
        </w:rPr>
        <w:t xml:space="preserve">, showing that </w:t>
      </w:r>
      <w:proofErr w:type="spellStart"/>
      <w:r w:rsidRPr="00E51AA7">
        <w:rPr>
          <w:lang w:val="en-GB" w:eastAsia="zh-CN"/>
        </w:rPr>
        <w:t>miRNA</w:t>
      </w:r>
      <w:proofErr w:type="spellEnd"/>
      <w:r w:rsidRPr="00E51AA7">
        <w:rPr>
          <w:lang w:val="en-GB" w:eastAsia="zh-CN"/>
        </w:rPr>
        <w:t xml:space="preserve"> regulation of </w:t>
      </w:r>
      <w:proofErr w:type="spellStart"/>
      <w:r w:rsidRPr="00E51AA7">
        <w:rPr>
          <w:lang w:val="en-GB" w:eastAsia="zh-CN"/>
        </w:rPr>
        <w:t>ecdysteroids</w:t>
      </w:r>
      <w:proofErr w:type="spellEnd"/>
      <w:r w:rsidRPr="00E51AA7">
        <w:rPr>
          <w:lang w:val="en-GB" w:eastAsia="zh-CN"/>
        </w:rPr>
        <w:t xml:space="preserve"> biosynthesis is a conserved process but the microRNAs involved were divergent.  </w:t>
      </w:r>
    </w:p>
    <w:p w:rsidR="00172A38" w:rsidRDefault="00172A38" w:rsidP="00172A38">
      <w:pPr>
        <w:spacing w:line="480" w:lineRule="auto"/>
        <w:jc w:val="both"/>
      </w:pPr>
      <w:r w:rsidRPr="006F1F26">
        <w:rPr>
          <w:rFonts w:hint="eastAsia"/>
          <w:b/>
          <w:lang w:val="en-GB" w:eastAsia="zh-CN"/>
        </w:rPr>
        <w:t>Table S1</w:t>
      </w:r>
      <w:r>
        <w:rPr>
          <w:rFonts w:hint="eastAsia"/>
          <w:b/>
          <w:lang w:val="en-GB" w:eastAsia="zh-CN"/>
        </w:rPr>
        <w:t>.</w:t>
      </w:r>
      <w:r>
        <w:rPr>
          <w:rFonts w:hint="eastAsia"/>
          <w:lang w:val="en-GB" w:eastAsia="zh-CN"/>
        </w:rPr>
        <w:t xml:space="preserve">  </w:t>
      </w:r>
      <w:r w:rsidRPr="003D5D74">
        <w:t xml:space="preserve">Data statistics of small RNA library sequencing in </w:t>
      </w:r>
      <w:r w:rsidRPr="003D5D74">
        <w:rPr>
          <w:i/>
        </w:rPr>
        <w:t>C</w:t>
      </w:r>
      <w:r>
        <w:rPr>
          <w:rFonts w:hint="eastAsia"/>
          <w:i/>
        </w:rPr>
        <w:t>.</w:t>
      </w:r>
      <w:r w:rsidRPr="003D5D74">
        <w:rPr>
          <w:i/>
        </w:rPr>
        <w:t xml:space="preserve"> </w:t>
      </w:r>
      <w:proofErr w:type="spellStart"/>
      <w:r w:rsidRPr="003D5D74">
        <w:rPr>
          <w:i/>
        </w:rPr>
        <w:t>suppressalis</w:t>
      </w:r>
      <w:proofErr w:type="spellEnd"/>
    </w:p>
    <w:p w:rsidR="00172A38" w:rsidRPr="004B1346" w:rsidRDefault="00172A38" w:rsidP="00172A38">
      <w:pPr>
        <w:spacing w:line="480" w:lineRule="auto"/>
        <w:jc w:val="both"/>
        <w:rPr>
          <w:lang w:eastAsia="zh-CN"/>
        </w:rPr>
      </w:pPr>
      <w:r w:rsidRPr="00387636">
        <w:rPr>
          <w:rFonts w:hint="eastAsia"/>
          <w:b/>
          <w:lang w:eastAsia="zh-CN"/>
        </w:rPr>
        <w:t>Table S2.</w:t>
      </w:r>
      <w:r>
        <w:rPr>
          <w:rFonts w:hint="eastAsia"/>
          <w:lang w:eastAsia="zh-CN"/>
        </w:rPr>
        <w:t xml:space="preserve"> The sequences and detailed information of </w:t>
      </w:r>
      <w:proofErr w:type="spellStart"/>
      <w:r>
        <w:rPr>
          <w:rFonts w:hint="eastAsia"/>
          <w:lang w:eastAsia="zh-CN"/>
        </w:rPr>
        <w:t>miRNAs</w:t>
      </w:r>
      <w:proofErr w:type="spellEnd"/>
      <w:r>
        <w:rPr>
          <w:rFonts w:hint="eastAsia"/>
          <w:lang w:eastAsia="zh-CN"/>
        </w:rPr>
        <w:t xml:space="preserve"> identified in </w:t>
      </w:r>
      <w:r w:rsidRPr="004B1346">
        <w:rPr>
          <w:rFonts w:hint="eastAsia"/>
          <w:i/>
          <w:lang w:eastAsia="zh-CN"/>
        </w:rPr>
        <w:t xml:space="preserve">C. </w:t>
      </w:r>
      <w:proofErr w:type="spellStart"/>
      <w:r w:rsidRPr="004B1346">
        <w:rPr>
          <w:rFonts w:hint="eastAsia"/>
          <w:i/>
          <w:lang w:eastAsia="zh-CN"/>
        </w:rPr>
        <w:t>suppressalis</w:t>
      </w:r>
      <w:proofErr w:type="spellEnd"/>
      <w:r>
        <w:rPr>
          <w:rFonts w:hint="eastAsia"/>
          <w:lang w:eastAsia="zh-CN"/>
        </w:rPr>
        <w:t xml:space="preserve">. </w:t>
      </w:r>
    </w:p>
    <w:p w:rsidR="00172A38" w:rsidRDefault="00172A38" w:rsidP="00172A38">
      <w:pPr>
        <w:spacing w:line="480" w:lineRule="auto"/>
        <w:jc w:val="both"/>
        <w:rPr>
          <w:lang w:val="en-GB" w:eastAsia="zh-CN"/>
        </w:rPr>
      </w:pPr>
      <w:r w:rsidRPr="006F1F26">
        <w:rPr>
          <w:rFonts w:hint="eastAsia"/>
          <w:b/>
          <w:lang w:val="en-GB" w:eastAsia="zh-CN"/>
        </w:rPr>
        <w:t>Table S</w:t>
      </w:r>
      <w:r>
        <w:rPr>
          <w:rFonts w:hint="eastAsia"/>
          <w:b/>
          <w:lang w:val="en-GB" w:eastAsia="zh-CN"/>
        </w:rPr>
        <w:t xml:space="preserve">3. </w:t>
      </w:r>
      <w:r w:rsidRPr="006F1F26">
        <w:rPr>
          <w:lang w:val="en-GB" w:eastAsia="zh-CN"/>
        </w:rPr>
        <w:t>54 different expressed microRNA detected by microarray assay</w:t>
      </w:r>
    </w:p>
    <w:p w:rsidR="00172A38" w:rsidRDefault="00172A38" w:rsidP="00172A38">
      <w:pPr>
        <w:spacing w:line="480" w:lineRule="auto"/>
        <w:jc w:val="both"/>
        <w:rPr>
          <w:b/>
          <w:lang w:val="en-GB" w:eastAsia="zh-CN"/>
        </w:rPr>
      </w:pPr>
      <w:r w:rsidRPr="006F1F26">
        <w:rPr>
          <w:rFonts w:hint="eastAsia"/>
          <w:b/>
          <w:lang w:val="en-GB" w:eastAsia="zh-CN"/>
        </w:rPr>
        <w:t>Table S</w:t>
      </w:r>
      <w:r>
        <w:rPr>
          <w:rFonts w:hint="eastAsia"/>
          <w:b/>
          <w:lang w:val="en-GB" w:eastAsia="zh-CN"/>
        </w:rPr>
        <w:t>4</w:t>
      </w:r>
      <w:r>
        <w:rPr>
          <w:b/>
          <w:lang w:val="en-GB" w:eastAsia="zh-CN"/>
        </w:rPr>
        <w:t xml:space="preserve">. </w:t>
      </w:r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GenBank</w:t>
      </w:r>
      <w:proofErr w:type="spellEnd"/>
      <w:r>
        <w:rPr>
          <w:rFonts w:hint="eastAsia"/>
        </w:rPr>
        <w:t xml:space="preserve"> accession numbers of</w:t>
      </w:r>
      <w:r>
        <w:t xml:space="preserve"> 3’UTR sequence of the genes </w:t>
      </w:r>
      <w:r>
        <w:rPr>
          <w:rFonts w:hint="eastAsia"/>
        </w:rPr>
        <w:t xml:space="preserve">in the </w:t>
      </w:r>
      <w:r>
        <w:t xml:space="preserve">20E </w:t>
      </w:r>
      <w:r>
        <w:rPr>
          <w:rFonts w:hint="eastAsia"/>
        </w:rPr>
        <w:t>bio</w:t>
      </w:r>
      <w:r>
        <w:t xml:space="preserve">synthesis </w:t>
      </w:r>
      <w:r>
        <w:rPr>
          <w:rFonts w:hint="eastAsia"/>
        </w:rPr>
        <w:t>pathway</w:t>
      </w:r>
    </w:p>
    <w:p w:rsidR="00172A38" w:rsidRDefault="00172A38" w:rsidP="00172A38">
      <w:pPr>
        <w:spacing w:line="480" w:lineRule="auto"/>
        <w:jc w:val="both"/>
      </w:pPr>
      <w:r w:rsidRPr="006F1F26">
        <w:rPr>
          <w:rFonts w:hint="eastAsia"/>
          <w:b/>
          <w:lang w:val="en-GB" w:eastAsia="zh-CN"/>
        </w:rPr>
        <w:t>Table S</w:t>
      </w:r>
      <w:r>
        <w:rPr>
          <w:rFonts w:hint="eastAsia"/>
          <w:b/>
          <w:lang w:val="en-GB" w:eastAsia="zh-CN"/>
        </w:rPr>
        <w:t>5</w:t>
      </w:r>
      <w:r>
        <w:rPr>
          <w:b/>
          <w:lang w:val="en-GB" w:eastAsia="zh-CN"/>
        </w:rPr>
        <w:t xml:space="preserve">. </w:t>
      </w:r>
      <w:proofErr w:type="gramStart"/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GenBank</w:t>
      </w:r>
      <w:proofErr w:type="spellEnd"/>
      <w:r>
        <w:rPr>
          <w:rFonts w:hint="eastAsia"/>
        </w:rPr>
        <w:t xml:space="preserve"> accession numbers of</w:t>
      </w:r>
      <w:r w:rsidRPr="00BC1E86">
        <w:t xml:space="preserve"> Halloween genes in </w:t>
      </w:r>
      <w:proofErr w:type="spellStart"/>
      <w:r>
        <w:t>fruit</w:t>
      </w:r>
      <w:r w:rsidRPr="002D42C6">
        <w:t>fly</w:t>
      </w:r>
      <w:proofErr w:type="spellEnd"/>
      <w:r w:rsidRPr="002D42C6">
        <w:t xml:space="preserve"> and silkworm</w:t>
      </w:r>
      <w:r>
        <w:t>.</w:t>
      </w:r>
      <w:proofErr w:type="gramEnd"/>
    </w:p>
    <w:p w:rsidR="008420E3" w:rsidRPr="00172A38" w:rsidRDefault="008420E3">
      <w:pPr>
        <w:rPr>
          <w:b/>
          <w:color w:val="000000" w:themeColor="text1"/>
          <w:sz w:val="28"/>
          <w:lang w:val="en-GB"/>
        </w:rPr>
      </w:pPr>
      <w:bookmarkStart w:id="0" w:name="_GoBack"/>
      <w:bookmarkEnd w:id="0"/>
    </w:p>
    <w:sectPr w:rsidR="008420E3" w:rsidRPr="00172A38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38"/>
    <w:rsid w:val="00172A38"/>
    <w:rsid w:val="0027073C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Macintosh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2017-08-31T19:52:00Z</dcterms:created>
  <dcterms:modified xsi:type="dcterms:W3CDTF">2017-08-31T19:53:00Z</dcterms:modified>
</cp:coreProperties>
</file>