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2B8" w:rsidRPr="00B56CA8" w:rsidRDefault="00E402B8" w:rsidP="00E402B8">
      <w:pPr>
        <w:spacing w:line="360" w:lineRule="auto"/>
        <w:rPr>
          <w:rFonts w:ascii="Arial" w:hAnsi="Arial"/>
          <w:b/>
          <w:bCs/>
          <w:sz w:val="20"/>
          <w:szCs w:val="20"/>
          <w:lang w:val="en-US"/>
        </w:rPr>
      </w:pPr>
      <w:r w:rsidRPr="00B56CA8">
        <w:rPr>
          <w:rFonts w:ascii="Arial" w:hAnsi="Arial"/>
          <w:b/>
          <w:bCs/>
          <w:sz w:val="20"/>
          <w:szCs w:val="20"/>
          <w:lang w:val="en-US"/>
        </w:rPr>
        <w:t>Figure S1:</w:t>
      </w:r>
      <w:r w:rsidRPr="00B56CA8">
        <w:rPr>
          <w:rFonts w:ascii="Arial" w:hAnsi="Arial"/>
          <w:sz w:val="20"/>
          <w:szCs w:val="20"/>
          <w:lang w:val="en-US"/>
        </w:rPr>
        <w:t xml:space="preserve"> </w:t>
      </w:r>
      <w:r w:rsidRPr="00B56CA8">
        <w:rPr>
          <w:rFonts w:ascii="Arial" w:hAnsi="Arial"/>
          <w:b/>
          <w:bCs/>
          <w:sz w:val="20"/>
          <w:szCs w:val="20"/>
          <w:lang w:val="en-US"/>
        </w:rPr>
        <w:t xml:space="preserve">PCR validation of selected RNAs. </w:t>
      </w:r>
      <w:r w:rsidRPr="00B56CA8">
        <w:rPr>
          <w:rFonts w:ascii="Arial" w:hAnsi="Arial"/>
          <w:bCs/>
          <w:sz w:val="20"/>
          <w:szCs w:val="20"/>
          <w:lang w:val="en-US"/>
        </w:rPr>
        <w:t xml:space="preserve">Comparison between the relative quantitative </w:t>
      </w:r>
      <w:proofErr w:type="gramStart"/>
      <w:r w:rsidRPr="00B56CA8">
        <w:rPr>
          <w:rFonts w:ascii="Arial" w:hAnsi="Arial"/>
          <w:bCs/>
          <w:sz w:val="20"/>
          <w:szCs w:val="20"/>
          <w:lang w:val="en-US"/>
        </w:rPr>
        <w:t>value</w:t>
      </w:r>
      <w:proofErr w:type="gramEnd"/>
      <w:r w:rsidRPr="00B56CA8">
        <w:rPr>
          <w:rFonts w:ascii="Arial" w:hAnsi="Arial"/>
          <w:bCs/>
          <w:sz w:val="20"/>
          <w:szCs w:val="20"/>
          <w:lang w:val="en-US"/>
        </w:rPr>
        <w:t xml:space="preserve"> (RQV) of selected RNAs as measured by high throughput sequencing (y-axis) or RT-</w:t>
      </w:r>
      <w:proofErr w:type="spellStart"/>
      <w:r w:rsidRPr="00B56CA8">
        <w:rPr>
          <w:rFonts w:ascii="Arial" w:hAnsi="Arial"/>
          <w:bCs/>
          <w:sz w:val="20"/>
          <w:szCs w:val="20"/>
          <w:lang w:val="en-US"/>
        </w:rPr>
        <w:t>qPCR</w:t>
      </w:r>
      <w:proofErr w:type="spellEnd"/>
      <w:r w:rsidRPr="00B56CA8">
        <w:rPr>
          <w:rFonts w:ascii="Arial" w:hAnsi="Arial"/>
          <w:bCs/>
          <w:sz w:val="20"/>
          <w:szCs w:val="20"/>
          <w:lang w:val="en-US"/>
        </w:rPr>
        <w:t xml:space="preserve"> (x-axis). Pearson’s correlation value (r) is shown in red on each plot. </w:t>
      </w:r>
    </w:p>
    <w:p w:rsidR="00E402B8" w:rsidRPr="00B56CA8" w:rsidRDefault="00E402B8" w:rsidP="00E402B8">
      <w:pPr>
        <w:spacing w:line="360" w:lineRule="auto"/>
        <w:rPr>
          <w:rFonts w:ascii="Arial" w:hAnsi="Arial"/>
          <w:b/>
          <w:bCs/>
          <w:sz w:val="20"/>
          <w:szCs w:val="20"/>
          <w:lang w:val="en-US"/>
        </w:rPr>
      </w:pPr>
      <w:proofErr w:type="gramStart"/>
      <w:r w:rsidRPr="00B56CA8">
        <w:rPr>
          <w:rFonts w:ascii="Arial" w:hAnsi="Arial"/>
          <w:b/>
          <w:bCs/>
          <w:sz w:val="20"/>
          <w:szCs w:val="20"/>
          <w:lang w:val="en-US"/>
        </w:rPr>
        <w:t>Figure S2:</w:t>
      </w:r>
      <w:r w:rsidRPr="00B56CA8">
        <w:rPr>
          <w:rFonts w:ascii="Arial" w:hAnsi="Arial"/>
          <w:sz w:val="20"/>
          <w:szCs w:val="20"/>
          <w:lang w:val="en-US"/>
        </w:rPr>
        <w:t xml:space="preserve"> </w:t>
      </w:r>
      <w:r w:rsidRPr="00B56CA8">
        <w:rPr>
          <w:rFonts w:ascii="Arial" w:hAnsi="Arial"/>
          <w:b/>
          <w:bCs/>
          <w:i/>
          <w:sz w:val="20"/>
          <w:szCs w:val="20"/>
          <w:lang w:val="en-US"/>
        </w:rPr>
        <w:t>GATA3</w:t>
      </w:r>
      <w:r w:rsidRPr="00B56CA8">
        <w:rPr>
          <w:rFonts w:ascii="Arial" w:hAnsi="Arial"/>
          <w:b/>
          <w:bCs/>
          <w:sz w:val="20"/>
          <w:szCs w:val="20"/>
          <w:lang w:val="en-US"/>
        </w:rPr>
        <w:t>-like and anti-</w:t>
      </w:r>
      <w:r w:rsidRPr="00B56CA8">
        <w:rPr>
          <w:rFonts w:ascii="Arial" w:hAnsi="Arial"/>
          <w:b/>
          <w:bCs/>
          <w:i/>
          <w:sz w:val="20"/>
          <w:szCs w:val="20"/>
          <w:lang w:val="en-US"/>
        </w:rPr>
        <w:t>GATA3</w:t>
      </w:r>
      <w:r w:rsidRPr="00B56CA8">
        <w:rPr>
          <w:rFonts w:ascii="Arial" w:hAnsi="Arial"/>
          <w:b/>
          <w:bCs/>
          <w:sz w:val="20"/>
          <w:szCs w:val="20"/>
          <w:lang w:val="en-US"/>
        </w:rPr>
        <w:t>-like genes.</w:t>
      </w:r>
      <w:proofErr w:type="gramEnd"/>
      <w:r w:rsidRPr="00B56CA8">
        <w:rPr>
          <w:rFonts w:ascii="Arial" w:hAnsi="Arial"/>
          <w:b/>
          <w:bCs/>
          <w:sz w:val="20"/>
          <w:szCs w:val="20"/>
          <w:lang w:val="en-US"/>
        </w:rPr>
        <w:t xml:space="preserve"> </w:t>
      </w:r>
      <w:r w:rsidRPr="00B56CA8">
        <w:rPr>
          <w:rFonts w:ascii="Arial" w:hAnsi="Arial"/>
          <w:bCs/>
          <w:sz w:val="20"/>
          <w:szCs w:val="20"/>
          <w:lang w:val="en-US"/>
        </w:rPr>
        <w:t xml:space="preserve">(A) </w:t>
      </w:r>
      <w:r w:rsidRPr="00B56CA8">
        <w:rPr>
          <w:rFonts w:ascii="Arial" w:hAnsi="Arial"/>
          <w:sz w:val="20"/>
          <w:szCs w:val="20"/>
          <w:lang w:val="en-US"/>
        </w:rPr>
        <w:t xml:space="preserve">The expression profile of 170 mRNAs that exhibit an expression pattern similar to </w:t>
      </w:r>
      <w:r w:rsidRPr="00B56CA8">
        <w:rPr>
          <w:rFonts w:ascii="Arial" w:hAnsi="Arial"/>
          <w:i/>
          <w:sz w:val="20"/>
          <w:szCs w:val="20"/>
          <w:lang w:val="en-US"/>
        </w:rPr>
        <w:t>GATA3</w:t>
      </w:r>
      <w:r w:rsidRPr="00B56CA8">
        <w:rPr>
          <w:rFonts w:ascii="Arial" w:hAnsi="Arial"/>
          <w:sz w:val="20"/>
          <w:szCs w:val="20"/>
          <w:lang w:val="en-US"/>
        </w:rPr>
        <w:t xml:space="preserve">. </w:t>
      </w:r>
      <w:r w:rsidRPr="00B56CA8">
        <w:rPr>
          <w:rFonts w:ascii="Arial" w:hAnsi="Arial"/>
          <w:bCs/>
          <w:sz w:val="20"/>
          <w:szCs w:val="20"/>
          <w:lang w:val="en-US"/>
        </w:rPr>
        <w:t xml:space="preserve">(B) </w:t>
      </w:r>
      <w:r w:rsidRPr="00B56CA8">
        <w:rPr>
          <w:rFonts w:ascii="Arial" w:hAnsi="Arial"/>
          <w:sz w:val="20"/>
          <w:szCs w:val="20"/>
          <w:lang w:val="en-US"/>
        </w:rPr>
        <w:t xml:space="preserve">The expression profile of 118 mRNAs that exhibit a pattern of expression opposite of that of </w:t>
      </w:r>
      <w:r w:rsidRPr="00B56CA8">
        <w:rPr>
          <w:rFonts w:ascii="Arial" w:hAnsi="Arial"/>
          <w:i/>
          <w:sz w:val="20"/>
          <w:szCs w:val="20"/>
          <w:lang w:val="en-US"/>
        </w:rPr>
        <w:t>GATA3</w:t>
      </w:r>
      <w:r w:rsidRPr="00B56CA8">
        <w:rPr>
          <w:rFonts w:ascii="Arial" w:hAnsi="Arial"/>
          <w:sz w:val="20"/>
          <w:szCs w:val="20"/>
          <w:lang w:val="en-US"/>
        </w:rPr>
        <w:t xml:space="preserve">. </w:t>
      </w:r>
      <w:r w:rsidRPr="00B56CA8">
        <w:rPr>
          <w:rFonts w:ascii="Arial" w:hAnsi="Arial"/>
          <w:bCs/>
          <w:sz w:val="20"/>
          <w:szCs w:val="20"/>
          <w:lang w:val="en-US"/>
        </w:rPr>
        <w:t xml:space="preserve">(C) Normalized expression of </w:t>
      </w:r>
      <w:r w:rsidRPr="00B56CA8">
        <w:rPr>
          <w:rFonts w:ascii="Arial" w:hAnsi="Arial"/>
          <w:bCs/>
          <w:i/>
          <w:sz w:val="20"/>
          <w:szCs w:val="20"/>
          <w:lang w:val="en-US"/>
        </w:rPr>
        <w:t>GATA3</w:t>
      </w:r>
      <w:r w:rsidRPr="00B56CA8">
        <w:rPr>
          <w:rFonts w:ascii="Arial" w:hAnsi="Arial"/>
          <w:bCs/>
          <w:sz w:val="20"/>
          <w:szCs w:val="20"/>
          <w:lang w:val="en-US"/>
        </w:rPr>
        <w:t xml:space="preserve"> and </w:t>
      </w:r>
      <w:r w:rsidRPr="00B56CA8">
        <w:rPr>
          <w:rFonts w:ascii="Arial" w:hAnsi="Arial"/>
          <w:bCs/>
          <w:i/>
          <w:sz w:val="20"/>
          <w:szCs w:val="20"/>
          <w:lang w:val="en-US"/>
        </w:rPr>
        <w:t>FOXC1</w:t>
      </w:r>
      <w:r w:rsidRPr="00B56CA8">
        <w:rPr>
          <w:rFonts w:ascii="Arial" w:hAnsi="Arial"/>
          <w:bCs/>
          <w:sz w:val="20"/>
          <w:szCs w:val="20"/>
          <w:lang w:val="en-US"/>
        </w:rPr>
        <w:t xml:space="preserve"> in 1046 samples from The Cancer Genome Atlas breast cancer dataset. Pearson’s correlation (r) is shown in red. (D) Opposite expression pattern of </w:t>
      </w:r>
      <w:r w:rsidRPr="00B56CA8">
        <w:rPr>
          <w:rFonts w:ascii="Arial" w:hAnsi="Arial"/>
          <w:bCs/>
          <w:i/>
          <w:sz w:val="20"/>
          <w:szCs w:val="20"/>
          <w:lang w:val="en-US"/>
        </w:rPr>
        <w:t>GATA3</w:t>
      </w:r>
      <w:r w:rsidRPr="00B56CA8">
        <w:rPr>
          <w:rFonts w:ascii="Arial" w:hAnsi="Arial"/>
          <w:bCs/>
          <w:sz w:val="20"/>
          <w:szCs w:val="20"/>
          <w:lang w:val="en-US"/>
        </w:rPr>
        <w:t xml:space="preserve"> and </w:t>
      </w:r>
      <w:r w:rsidRPr="00B56CA8">
        <w:rPr>
          <w:rFonts w:ascii="Arial" w:hAnsi="Arial"/>
          <w:bCs/>
          <w:i/>
          <w:sz w:val="20"/>
          <w:szCs w:val="20"/>
          <w:lang w:val="en-US"/>
        </w:rPr>
        <w:t>FOXC1</w:t>
      </w:r>
      <w:r w:rsidRPr="00B56CA8">
        <w:rPr>
          <w:rFonts w:ascii="Arial" w:hAnsi="Arial"/>
          <w:bCs/>
          <w:sz w:val="20"/>
          <w:szCs w:val="20"/>
          <w:lang w:val="en-US"/>
        </w:rPr>
        <w:t xml:space="preserve"> is consistent with a mutual inhibition relationship.</w:t>
      </w:r>
    </w:p>
    <w:p w:rsidR="00E402B8" w:rsidRPr="00B56CA8" w:rsidRDefault="00E402B8" w:rsidP="00E402B8">
      <w:pPr>
        <w:spacing w:line="360" w:lineRule="auto"/>
        <w:rPr>
          <w:rFonts w:ascii="Arial" w:hAnsi="Arial"/>
          <w:b/>
          <w:bCs/>
          <w:sz w:val="20"/>
          <w:szCs w:val="20"/>
          <w:lang w:val="en-US"/>
        </w:rPr>
      </w:pPr>
      <w:r w:rsidRPr="00B56CA8">
        <w:rPr>
          <w:rFonts w:ascii="Arial" w:hAnsi="Arial"/>
          <w:b/>
          <w:bCs/>
          <w:sz w:val="20"/>
          <w:szCs w:val="20"/>
          <w:lang w:val="en-US"/>
        </w:rPr>
        <w:t>Figure S3:</w:t>
      </w:r>
      <w:r w:rsidRPr="00B56CA8">
        <w:rPr>
          <w:rFonts w:ascii="Arial" w:hAnsi="Arial"/>
          <w:sz w:val="20"/>
          <w:szCs w:val="20"/>
          <w:lang w:val="en-US"/>
        </w:rPr>
        <w:t xml:space="preserve"> </w:t>
      </w:r>
      <w:r w:rsidRPr="00B56CA8">
        <w:rPr>
          <w:rFonts w:ascii="Arial" w:hAnsi="Arial"/>
          <w:b/>
          <w:sz w:val="20"/>
          <w:szCs w:val="20"/>
          <w:lang w:val="en-US"/>
        </w:rPr>
        <w:t>Top</w:t>
      </w:r>
      <w:r w:rsidRPr="00B56CA8">
        <w:rPr>
          <w:rFonts w:ascii="Arial" w:hAnsi="Arial"/>
          <w:sz w:val="20"/>
          <w:szCs w:val="20"/>
          <w:lang w:val="en-US"/>
        </w:rPr>
        <w:t xml:space="preserve"> </w:t>
      </w:r>
      <w:proofErr w:type="spellStart"/>
      <w:r w:rsidRPr="00B56CA8">
        <w:rPr>
          <w:rFonts w:ascii="Arial" w:hAnsi="Arial"/>
          <w:b/>
          <w:bCs/>
          <w:sz w:val="20"/>
          <w:szCs w:val="20"/>
          <w:lang w:val="en-US"/>
        </w:rPr>
        <w:t>ChEA</w:t>
      </w:r>
      <w:proofErr w:type="spellEnd"/>
      <w:r w:rsidRPr="00B56CA8">
        <w:rPr>
          <w:rFonts w:ascii="Arial" w:hAnsi="Arial"/>
          <w:b/>
          <w:bCs/>
          <w:sz w:val="20"/>
          <w:szCs w:val="20"/>
          <w:lang w:val="en-US"/>
        </w:rPr>
        <w:t xml:space="preserve"> binding hits for estrogen responsive mRNAs. </w:t>
      </w:r>
      <w:r w:rsidRPr="00B56CA8">
        <w:rPr>
          <w:rFonts w:ascii="Arial" w:hAnsi="Arial"/>
          <w:bCs/>
          <w:sz w:val="20"/>
          <w:szCs w:val="20"/>
          <w:lang w:val="en-US"/>
        </w:rPr>
        <w:t xml:space="preserve">The ten most enriched transcription factor binding sites for estrogen responsive mRNAs in our dataset using </w:t>
      </w:r>
      <w:proofErr w:type="spellStart"/>
      <w:r w:rsidRPr="00B56CA8">
        <w:rPr>
          <w:rFonts w:ascii="Arial" w:hAnsi="Arial"/>
          <w:bCs/>
          <w:sz w:val="20"/>
          <w:szCs w:val="20"/>
          <w:lang w:val="en-US"/>
        </w:rPr>
        <w:t>ChEA</w:t>
      </w:r>
      <w:proofErr w:type="spellEnd"/>
      <w:r w:rsidRPr="00B56CA8">
        <w:rPr>
          <w:rFonts w:ascii="Arial" w:hAnsi="Arial"/>
          <w:bCs/>
          <w:sz w:val="20"/>
          <w:szCs w:val="20"/>
          <w:lang w:val="en-US"/>
        </w:rPr>
        <w:t xml:space="preserve">. Transcription factors are sorted by p-value ranking. </w:t>
      </w:r>
    </w:p>
    <w:p w:rsidR="00E402B8" w:rsidRDefault="00E402B8" w:rsidP="00E402B8">
      <w:pPr>
        <w:spacing w:line="360" w:lineRule="auto"/>
        <w:rPr>
          <w:rFonts w:ascii="Arial" w:hAnsi="Arial"/>
          <w:b/>
          <w:bCs/>
          <w:sz w:val="20"/>
          <w:szCs w:val="20"/>
          <w:lang w:val="en-US"/>
        </w:rPr>
      </w:pPr>
      <w:r w:rsidRPr="009058A1">
        <w:rPr>
          <w:rFonts w:ascii="Arial" w:hAnsi="Arial"/>
          <w:b/>
          <w:bCs/>
          <w:sz w:val="20"/>
          <w:szCs w:val="20"/>
          <w:highlight w:val="yellow"/>
          <w:lang w:val="en-US"/>
        </w:rPr>
        <w:t>Figure S4:</w:t>
      </w:r>
      <w:r w:rsidRPr="009058A1">
        <w:rPr>
          <w:rFonts w:ascii="Arial" w:hAnsi="Arial"/>
          <w:sz w:val="20"/>
          <w:szCs w:val="20"/>
          <w:highlight w:val="yellow"/>
          <w:lang w:val="en-US"/>
        </w:rPr>
        <w:t xml:space="preserve"> </w:t>
      </w:r>
      <w:r w:rsidRPr="009058A1">
        <w:rPr>
          <w:rFonts w:ascii="Arial" w:hAnsi="Arial"/>
          <w:b/>
          <w:sz w:val="20"/>
          <w:szCs w:val="20"/>
          <w:highlight w:val="yellow"/>
          <w:lang w:val="en-US"/>
        </w:rPr>
        <w:t xml:space="preserve">ZNF217 protein levels in Mock and miR-503 transfected MCF-7 cells. </w:t>
      </w:r>
      <w:r w:rsidRPr="009058A1">
        <w:rPr>
          <w:rFonts w:ascii="Arial" w:hAnsi="Arial"/>
          <w:bCs/>
          <w:sz w:val="20"/>
          <w:szCs w:val="20"/>
          <w:highlight w:val="yellow"/>
          <w:lang w:val="en-US"/>
        </w:rPr>
        <w:t xml:space="preserve">Western blot showing ZNF217 protein levels in Mock or miR-503 (50nM) transfected MCF-7 cells at </w:t>
      </w:r>
      <w:r>
        <w:rPr>
          <w:rFonts w:ascii="Arial" w:hAnsi="Arial"/>
          <w:bCs/>
          <w:sz w:val="20"/>
          <w:szCs w:val="20"/>
          <w:highlight w:val="yellow"/>
          <w:lang w:val="en-US"/>
        </w:rPr>
        <w:t>48</w:t>
      </w:r>
      <w:r w:rsidRPr="009058A1">
        <w:rPr>
          <w:rFonts w:ascii="Arial" w:hAnsi="Arial"/>
          <w:bCs/>
          <w:sz w:val="20"/>
          <w:szCs w:val="20"/>
          <w:highlight w:val="yellow"/>
          <w:lang w:val="en-US"/>
        </w:rPr>
        <w:t xml:space="preserve"> hours post transfection.</w:t>
      </w:r>
      <w:r w:rsidRPr="009058A1">
        <w:rPr>
          <w:rFonts w:ascii="Arial" w:hAnsi="Arial"/>
          <w:sz w:val="20"/>
          <w:szCs w:val="20"/>
          <w:highlight w:val="yellow"/>
          <w:lang w:val="en-US"/>
        </w:rPr>
        <w:t xml:space="preserve"> Significance assessed using a 1-tailed </w:t>
      </w:r>
      <w:r>
        <w:rPr>
          <w:rFonts w:ascii="Arial" w:hAnsi="Arial"/>
          <w:sz w:val="20"/>
          <w:szCs w:val="20"/>
          <w:highlight w:val="yellow"/>
          <w:lang w:val="en-US"/>
        </w:rPr>
        <w:t>S</w:t>
      </w:r>
      <w:r w:rsidRPr="009058A1">
        <w:rPr>
          <w:rFonts w:ascii="Arial" w:hAnsi="Arial"/>
          <w:sz w:val="20"/>
          <w:szCs w:val="20"/>
          <w:highlight w:val="yellow"/>
          <w:lang w:val="en-US"/>
        </w:rPr>
        <w:t>tudent’s t-test</w:t>
      </w:r>
      <w:r>
        <w:rPr>
          <w:rFonts w:ascii="Arial" w:hAnsi="Arial"/>
          <w:sz w:val="20"/>
          <w:szCs w:val="20"/>
          <w:lang w:val="en-US"/>
        </w:rPr>
        <w:t>.</w:t>
      </w:r>
    </w:p>
    <w:p w:rsidR="00E402B8" w:rsidRPr="00B56CA8" w:rsidRDefault="00E402B8" w:rsidP="00E402B8">
      <w:pPr>
        <w:spacing w:line="360" w:lineRule="auto"/>
        <w:rPr>
          <w:rFonts w:ascii="Arial" w:hAnsi="Arial"/>
          <w:b/>
          <w:bCs/>
          <w:sz w:val="20"/>
          <w:szCs w:val="20"/>
          <w:lang w:val="en-US"/>
        </w:rPr>
      </w:pPr>
      <w:r w:rsidRPr="00B56CA8">
        <w:rPr>
          <w:rFonts w:ascii="Arial" w:hAnsi="Arial"/>
          <w:b/>
          <w:bCs/>
          <w:sz w:val="20"/>
          <w:szCs w:val="20"/>
          <w:lang w:val="en-US"/>
        </w:rPr>
        <w:t xml:space="preserve">Figure </w:t>
      </w:r>
      <w:r w:rsidRPr="00757F1D">
        <w:rPr>
          <w:rFonts w:ascii="Arial" w:hAnsi="Arial"/>
          <w:b/>
          <w:bCs/>
          <w:sz w:val="20"/>
          <w:szCs w:val="20"/>
          <w:highlight w:val="yellow"/>
          <w:lang w:val="en-US"/>
        </w:rPr>
        <w:t>S5</w:t>
      </w:r>
      <w:r w:rsidRPr="00B56CA8">
        <w:rPr>
          <w:rFonts w:ascii="Arial" w:hAnsi="Arial"/>
          <w:b/>
          <w:bCs/>
          <w:sz w:val="20"/>
          <w:szCs w:val="20"/>
          <w:lang w:val="en-US"/>
        </w:rPr>
        <w:t>:</w:t>
      </w:r>
      <w:r w:rsidRPr="00B56CA8">
        <w:rPr>
          <w:rFonts w:ascii="Arial" w:hAnsi="Arial"/>
          <w:sz w:val="20"/>
          <w:szCs w:val="20"/>
          <w:lang w:val="en-US"/>
        </w:rPr>
        <w:t xml:space="preserve"> </w:t>
      </w:r>
      <w:r w:rsidRPr="00B56CA8">
        <w:rPr>
          <w:rFonts w:ascii="Arial" w:hAnsi="Arial"/>
          <w:b/>
          <w:bCs/>
          <w:sz w:val="20"/>
          <w:szCs w:val="20"/>
          <w:lang w:val="en-US"/>
        </w:rPr>
        <w:t xml:space="preserve">miR-503/ZNF217 circuit inhibits proliferation. </w:t>
      </w:r>
      <w:r w:rsidRPr="00B56CA8">
        <w:rPr>
          <w:rFonts w:ascii="Arial" w:hAnsi="Arial"/>
          <w:bCs/>
          <w:sz w:val="20"/>
          <w:szCs w:val="20"/>
          <w:lang w:val="en-US"/>
        </w:rPr>
        <w:t xml:space="preserve">(A) </w:t>
      </w:r>
      <w:r w:rsidRPr="00B56CA8">
        <w:rPr>
          <w:rFonts w:ascii="Arial" w:hAnsi="Arial"/>
          <w:sz w:val="20"/>
          <w:szCs w:val="20"/>
          <w:lang w:val="en-US"/>
        </w:rPr>
        <w:t xml:space="preserve">Total </w:t>
      </w:r>
      <w:proofErr w:type="spellStart"/>
      <w:r w:rsidRPr="00B56CA8">
        <w:rPr>
          <w:rFonts w:ascii="Arial" w:hAnsi="Arial"/>
          <w:sz w:val="20"/>
          <w:szCs w:val="20"/>
          <w:lang w:val="en-US"/>
        </w:rPr>
        <w:t>EdU</w:t>
      </w:r>
      <w:proofErr w:type="spellEnd"/>
      <w:r w:rsidRPr="00B56CA8">
        <w:rPr>
          <w:rFonts w:ascii="Arial" w:hAnsi="Arial"/>
          <w:sz w:val="20"/>
          <w:szCs w:val="20"/>
          <w:lang w:val="en-US"/>
        </w:rPr>
        <w:t xml:space="preserve"> and DNA (Hoechst) fluorescence in cells from Mock or miR-503 (50nM) transfected </w:t>
      </w:r>
      <w:r>
        <w:rPr>
          <w:rFonts w:ascii="Arial" w:hAnsi="Arial"/>
          <w:sz w:val="20"/>
          <w:szCs w:val="20"/>
          <w:lang w:val="en-US"/>
        </w:rPr>
        <w:t>MCF-7</w:t>
      </w:r>
      <w:r w:rsidRPr="00B56CA8">
        <w:rPr>
          <w:rFonts w:ascii="Arial" w:hAnsi="Arial"/>
          <w:sz w:val="20"/>
          <w:szCs w:val="20"/>
          <w:lang w:val="en-US"/>
        </w:rPr>
        <w:t xml:space="preserve"> cells. </w:t>
      </w:r>
      <w:r w:rsidRPr="00B56CA8">
        <w:rPr>
          <w:rFonts w:ascii="Arial" w:hAnsi="Arial"/>
          <w:bCs/>
          <w:sz w:val="20"/>
          <w:szCs w:val="20"/>
          <w:lang w:val="en-US"/>
        </w:rPr>
        <w:t xml:space="preserve">(B) </w:t>
      </w:r>
      <w:r w:rsidRPr="00B56CA8">
        <w:rPr>
          <w:rFonts w:ascii="Arial" w:hAnsi="Arial"/>
          <w:sz w:val="20"/>
          <w:szCs w:val="20"/>
          <w:lang w:val="en-US"/>
        </w:rPr>
        <w:t xml:space="preserve">The percentage of </w:t>
      </w:r>
      <w:r>
        <w:rPr>
          <w:rFonts w:ascii="Arial" w:hAnsi="Arial"/>
          <w:sz w:val="20"/>
          <w:szCs w:val="20"/>
          <w:lang w:val="en-US"/>
        </w:rPr>
        <w:t>MCF-7</w:t>
      </w:r>
      <w:r w:rsidRPr="00B56CA8">
        <w:rPr>
          <w:rFonts w:ascii="Arial" w:hAnsi="Arial"/>
          <w:sz w:val="20"/>
          <w:szCs w:val="20"/>
          <w:lang w:val="en-US"/>
        </w:rPr>
        <w:t xml:space="preserve"> cells in S-phase during the </w:t>
      </w:r>
      <w:proofErr w:type="spellStart"/>
      <w:r w:rsidRPr="00B56CA8">
        <w:rPr>
          <w:rFonts w:ascii="Arial" w:hAnsi="Arial"/>
          <w:sz w:val="20"/>
          <w:szCs w:val="20"/>
          <w:lang w:val="en-US"/>
        </w:rPr>
        <w:t>EdU</w:t>
      </w:r>
      <w:proofErr w:type="spellEnd"/>
      <w:r w:rsidRPr="00B56CA8">
        <w:rPr>
          <w:rFonts w:ascii="Arial" w:hAnsi="Arial"/>
          <w:sz w:val="20"/>
          <w:szCs w:val="20"/>
          <w:lang w:val="en-US"/>
        </w:rPr>
        <w:t xml:space="preserve"> pulse experiment form Mock or miR-503 (50nM) transfected </w:t>
      </w:r>
      <w:r>
        <w:rPr>
          <w:rFonts w:ascii="Arial" w:hAnsi="Arial"/>
          <w:sz w:val="20"/>
          <w:szCs w:val="20"/>
          <w:lang w:val="en-US"/>
        </w:rPr>
        <w:t>MCF-7</w:t>
      </w:r>
      <w:r w:rsidRPr="00B56CA8">
        <w:rPr>
          <w:rFonts w:ascii="Arial" w:hAnsi="Arial"/>
          <w:sz w:val="20"/>
          <w:szCs w:val="20"/>
          <w:lang w:val="en-US"/>
        </w:rPr>
        <w:t xml:space="preserve"> cells at 48 or 72 hours post transfection. Significance assessed using a </w:t>
      </w:r>
      <w:r>
        <w:rPr>
          <w:rFonts w:ascii="Arial" w:hAnsi="Arial"/>
          <w:sz w:val="20"/>
          <w:szCs w:val="20"/>
          <w:lang w:val="en-US"/>
        </w:rPr>
        <w:t>S</w:t>
      </w:r>
      <w:r w:rsidRPr="00B56CA8">
        <w:rPr>
          <w:rFonts w:ascii="Arial" w:hAnsi="Arial"/>
          <w:sz w:val="20"/>
          <w:szCs w:val="20"/>
          <w:lang w:val="en-US"/>
        </w:rPr>
        <w:t>tudent’s t-test (* P&lt; 0.05, **P&lt; 0.01).</w:t>
      </w:r>
    </w:p>
    <w:p w:rsidR="00E402B8" w:rsidRDefault="00E402B8" w:rsidP="00E402B8">
      <w:pPr>
        <w:spacing w:line="360" w:lineRule="auto"/>
        <w:rPr>
          <w:rFonts w:ascii="Arial" w:hAnsi="Arial"/>
          <w:bCs/>
          <w:sz w:val="20"/>
          <w:szCs w:val="20"/>
          <w:lang w:val="en-US"/>
        </w:rPr>
      </w:pPr>
      <w:r w:rsidRPr="00B56CA8">
        <w:rPr>
          <w:rFonts w:ascii="Arial" w:hAnsi="Arial"/>
          <w:b/>
          <w:bCs/>
          <w:sz w:val="20"/>
          <w:szCs w:val="20"/>
          <w:lang w:val="en-US"/>
        </w:rPr>
        <w:t xml:space="preserve">Figure </w:t>
      </w:r>
      <w:r w:rsidRPr="00757F1D">
        <w:rPr>
          <w:rFonts w:ascii="Arial" w:hAnsi="Arial"/>
          <w:b/>
          <w:bCs/>
          <w:sz w:val="20"/>
          <w:szCs w:val="20"/>
          <w:highlight w:val="yellow"/>
          <w:lang w:val="en-US"/>
        </w:rPr>
        <w:t>S6</w:t>
      </w:r>
      <w:r w:rsidRPr="00B56CA8">
        <w:rPr>
          <w:rFonts w:ascii="Arial" w:hAnsi="Arial"/>
          <w:b/>
          <w:bCs/>
          <w:sz w:val="20"/>
          <w:szCs w:val="20"/>
          <w:lang w:val="en-US"/>
        </w:rPr>
        <w:t>:</w:t>
      </w:r>
      <w:r w:rsidRPr="00B56CA8">
        <w:rPr>
          <w:rFonts w:ascii="Arial" w:hAnsi="Arial"/>
          <w:sz w:val="20"/>
          <w:szCs w:val="20"/>
          <w:lang w:val="en-US"/>
        </w:rPr>
        <w:t xml:space="preserve"> </w:t>
      </w:r>
      <w:r w:rsidRPr="00B56CA8">
        <w:rPr>
          <w:rFonts w:ascii="Arial" w:hAnsi="Arial"/>
          <w:b/>
          <w:sz w:val="20"/>
          <w:szCs w:val="20"/>
          <w:lang w:val="en-US"/>
        </w:rPr>
        <w:t xml:space="preserve">Ki67 protein levels in Mock and miR-503 transfected </w:t>
      </w:r>
      <w:r>
        <w:rPr>
          <w:rFonts w:ascii="Arial" w:hAnsi="Arial"/>
          <w:b/>
          <w:sz w:val="20"/>
          <w:szCs w:val="20"/>
          <w:lang w:val="en-US"/>
        </w:rPr>
        <w:t>MCF-7</w:t>
      </w:r>
      <w:r w:rsidRPr="00B56CA8">
        <w:rPr>
          <w:rFonts w:ascii="Arial" w:hAnsi="Arial"/>
          <w:b/>
          <w:sz w:val="20"/>
          <w:szCs w:val="20"/>
          <w:lang w:val="en-US"/>
        </w:rPr>
        <w:t xml:space="preserve"> cells. </w:t>
      </w:r>
      <w:r w:rsidRPr="00B56CA8">
        <w:rPr>
          <w:rFonts w:ascii="Arial" w:hAnsi="Arial"/>
          <w:bCs/>
          <w:sz w:val="20"/>
          <w:szCs w:val="20"/>
          <w:lang w:val="en-US"/>
        </w:rPr>
        <w:t xml:space="preserve">Western blot showing Ki67 protein levels in Mock or miR-503 (50nM) transfected </w:t>
      </w:r>
      <w:r>
        <w:rPr>
          <w:rFonts w:ascii="Arial" w:hAnsi="Arial"/>
          <w:bCs/>
          <w:sz w:val="20"/>
          <w:szCs w:val="20"/>
          <w:lang w:val="en-US"/>
        </w:rPr>
        <w:t>MCF-7</w:t>
      </w:r>
      <w:r w:rsidRPr="00B56CA8">
        <w:rPr>
          <w:rFonts w:ascii="Arial" w:hAnsi="Arial"/>
          <w:bCs/>
          <w:sz w:val="20"/>
          <w:szCs w:val="20"/>
          <w:lang w:val="en-US"/>
        </w:rPr>
        <w:t xml:space="preserve"> cells at 72 hours post transfection.</w:t>
      </w:r>
    </w:p>
    <w:p w:rsidR="00E402B8" w:rsidRPr="00682120" w:rsidRDefault="00E402B8" w:rsidP="00E402B8">
      <w:pPr>
        <w:spacing w:line="360" w:lineRule="auto"/>
        <w:rPr>
          <w:rFonts w:ascii="Arial" w:hAnsi="Arial"/>
          <w:bCs/>
          <w:sz w:val="20"/>
          <w:szCs w:val="20"/>
          <w:lang w:val="en-US"/>
        </w:rPr>
      </w:pPr>
      <w:r w:rsidRPr="00C6016D">
        <w:rPr>
          <w:rFonts w:ascii="Arial" w:hAnsi="Arial"/>
          <w:b/>
          <w:bCs/>
          <w:sz w:val="20"/>
          <w:szCs w:val="20"/>
          <w:highlight w:val="yellow"/>
          <w:lang w:val="en-US"/>
        </w:rPr>
        <w:t>Figure S</w:t>
      </w:r>
      <w:r>
        <w:rPr>
          <w:rFonts w:ascii="Arial" w:hAnsi="Arial"/>
          <w:b/>
          <w:bCs/>
          <w:sz w:val="20"/>
          <w:szCs w:val="20"/>
          <w:highlight w:val="yellow"/>
          <w:lang w:val="en-US"/>
        </w:rPr>
        <w:t>7</w:t>
      </w:r>
      <w:r w:rsidRPr="00C6016D">
        <w:rPr>
          <w:rFonts w:ascii="Arial" w:hAnsi="Arial"/>
          <w:b/>
          <w:bCs/>
          <w:sz w:val="20"/>
          <w:szCs w:val="20"/>
          <w:highlight w:val="yellow"/>
          <w:lang w:val="en-US"/>
        </w:rPr>
        <w:t>:</w:t>
      </w:r>
      <w:r w:rsidRPr="00C6016D">
        <w:rPr>
          <w:rFonts w:ascii="Arial" w:hAnsi="Arial"/>
          <w:sz w:val="20"/>
          <w:szCs w:val="20"/>
          <w:highlight w:val="yellow"/>
          <w:lang w:val="en-US"/>
        </w:rPr>
        <w:t xml:space="preserve"> </w:t>
      </w:r>
      <w:r w:rsidRPr="00C6016D">
        <w:rPr>
          <w:rFonts w:ascii="Arial" w:hAnsi="Arial"/>
          <w:b/>
          <w:sz w:val="20"/>
          <w:szCs w:val="20"/>
          <w:highlight w:val="yellow"/>
          <w:lang w:val="en-US"/>
        </w:rPr>
        <w:t xml:space="preserve">Association of </w:t>
      </w:r>
      <w:r w:rsidRPr="00C6016D">
        <w:rPr>
          <w:rFonts w:ascii="Arial" w:hAnsi="Arial"/>
          <w:b/>
          <w:i/>
          <w:sz w:val="20"/>
          <w:szCs w:val="20"/>
          <w:highlight w:val="yellow"/>
          <w:lang w:val="en-US"/>
        </w:rPr>
        <w:t>ZNF217</w:t>
      </w:r>
      <w:r w:rsidRPr="00C6016D">
        <w:rPr>
          <w:rFonts w:ascii="Arial" w:hAnsi="Arial"/>
          <w:b/>
          <w:sz w:val="20"/>
          <w:szCs w:val="20"/>
          <w:highlight w:val="yellow"/>
          <w:lang w:val="en-US"/>
        </w:rPr>
        <w:t xml:space="preserve"> and miR-503 expression in breast cancer patient cohorts. </w:t>
      </w:r>
      <w:r w:rsidRPr="00C6016D">
        <w:rPr>
          <w:rFonts w:ascii="Arial" w:hAnsi="Arial"/>
          <w:bCs/>
          <w:sz w:val="20"/>
          <w:szCs w:val="20"/>
          <w:highlight w:val="yellow"/>
          <w:lang w:val="en-US"/>
        </w:rPr>
        <w:t xml:space="preserve">(A) Survival analysis of 412 ER+ patients based on </w:t>
      </w:r>
      <w:r w:rsidRPr="00C6016D">
        <w:rPr>
          <w:rFonts w:ascii="Arial" w:hAnsi="Arial"/>
          <w:bCs/>
          <w:i/>
          <w:sz w:val="20"/>
          <w:szCs w:val="20"/>
          <w:highlight w:val="yellow"/>
          <w:lang w:val="en-US"/>
        </w:rPr>
        <w:t xml:space="preserve">ZNF217 </w:t>
      </w:r>
      <w:r w:rsidRPr="00C6016D">
        <w:rPr>
          <w:rFonts w:ascii="Arial" w:hAnsi="Arial"/>
          <w:bCs/>
          <w:sz w:val="20"/>
          <w:szCs w:val="20"/>
          <w:highlight w:val="yellow"/>
          <w:lang w:val="en-US"/>
        </w:rPr>
        <w:t>high/low status</w:t>
      </w:r>
      <w:r>
        <w:rPr>
          <w:rFonts w:ascii="Arial" w:hAnsi="Arial"/>
          <w:bCs/>
          <w:sz w:val="20"/>
          <w:szCs w:val="20"/>
          <w:highlight w:val="yellow"/>
          <w:lang w:val="en-US"/>
        </w:rPr>
        <w:t xml:space="preserve"> </w:t>
      </w:r>
      <w:r w:rsidRPr="00150B8E">
        <w:rPr>
          <w:rFonts w:ascii="Arial" w:hAnsi="Arial"/>
          <w:iCs/>
          <w:sz w:val="20"/>
          <w:szCs w:val="20"/>
          <w:highlight w:val="yellow"/>
          <w:lang w:val="en-US"/>
        </w:rPr>
        <w:fldChar w:fldCharType="begin"/>
      </w:r>
      <w:r w:rsidRPr="00757F1D">
        <w:rPr>
          <w:rFonts w:ascii="Arial" w:hAnsi="Arial"/>
          <w:iCs/>
          <w:sz w:val="20"/>
          <w:szCs w:val="20"/>
          <w:highlight w:val="yellow"/>
          <w:lang w:val="en-US"/>
        </w:rPr>
        <w:instrText xml:space="preserve"> ADDIN PAPERS2_CITATIONS &lt;citation&gt;&lt;uuid&gt;85380AEB-E66C-4C23-95C3-E6054AD8E278&lt;/uuid&gt;&lt;priority&gt;0&lt;/priority&gt;&lt;publications&gt;&lt;publication&gt;&lt;uuid&gt;1C02CF43-4EE3-4C65-8F8C-342902C3B74E&lt;/uuid&gt;&lt;volume&gt;15&lt;/volume&gt;&lt;accepted_date&gt;99201406181200000000222000&lt;/accepted_date&gt;&lt;doi&gt;10.1186/1471-2164-15-520&lt;/doi&gt;&lt;startpage&gt;520&lt;/startpage&gt;&lt;publication_date&gt;99201400001200000000200000&lt;/publication_date&gt;&lt;url&gt;http://www.biomedcentral.com/1471-2164/15/520&lt;/url&gt;&lt;citekey&gt;Frietze:2014er&lt;/citekey&gt;&lt;type&gt;400&lt;/type&gt;&lt;title&gt;Global analysis of ZNF217 chromatin occupancy in the breast cancer cell genome reveals an association with ERalpha&lt;/title&gt;&lt;publisher&gt;BioMed Central&lt;/publisher&gt;&lt;submission_date&gt;99201401031200000000222000&lt;/submission_date&gt;&lt;number&gt;1&lt;/number&gt;&lt;institution&gt;School of Biological Sciences, University of Northern Colorado, Greeley, CO 80639, USA. seth.frietze@unco.edu.&lt;/institution&gt;&lt;subtype&gt;400&lt;/subtype&gt;&lt;bundle&gt;&lt;publication&gt;&lt;publisher&gt;BioMed Central&lt;/publisher&gt;&lt;url&gt;http://www.biomedcentral.com&lt;/url&gt;&lt;title&gt;BMC genomics&lt;/title&gt;&lt;type&gt;-100&lt;/type&gt;&lt;subtype&gt;-100&lt;/subtype&gt;&lt;uuid&gt;46A9295C-CE16-423F-A790-7186659D6E06&lt;/uuid&gt;&lt;/publication&gt;&lt;/bundle&gt;&lt;authors&gt;&lt;author&gt;&lt;firstName&gt;Seth&lt;/firstName&gt;&lt;lastName&gt;Frietze&lt;/lastName&gt;&lt;/author&gt;&lt;author&gt;&lt;firstName&gt;Henriette&lt;/firstName&gt;&lt;lastName&gt;O’Geen&lt;/lastName&gt;&lt;/author&gt;&lt;author&gt;&lt;firstName&gt;Laurie&lt;/firstName&gt;&lt;middleNames&gt;E&lt;/middleNames&gt;&lt;lastName&gt;Littlepage&lt;/lastName&gt;&lt;/author&gt;&lt;author&gt;&lt;firstName&gt;Catalina&lt;/firstName&gt;&lt;lastName&gt;Simion&lt;/lastName&gt;&lt;/author&gt;&lt;author&gt;&lt;firstName&gt;Colleen&lt;/firstName&gt;&lt;middleNames&gt;A&lt;/middleNames&gt;&lt;lastName&gt;Sweeney&lt;/lastName&gt;&lt;/author&gt;&lt;author&gt;&lt;firstName&gt;Peggy&lt;/firstName&gt;&lt;middleNames&gt;J&lt;/middleNames&gt;&lt;lastName&gt;Farnham&lt;/lastName&gt;&lt;/author&gt;&lt;author&gt;&lt;firstName&gt;Sheryl&lt;/firstName&gt;&lt;middleNames&gt;R&lt;/middleNames&gt;&lt;lastName&gt;Krig&lt;/lastName&gt;&lt;/author&gt;&lt;/authors&gt;&lt;/publication&gt;&lt;publication&gt;&lt;volume&gt;123&lt;/volume&gt;&lt;publication_date&gt;99200912181200000000222000&lt;/publication_date&gt;&lt;number&gt;3&lt;/number&gt;&lt;doi&gt;10.1007/s10549-009-0674-9&lt;/doi&gt;&lt;startpage&gt;725&lt;/startpage&gt;&lt;title&gt;An online survival analysis tool to rapidly assess the effect of 22,277 genes on breast cancer prognosis using microarray data of 1,809 patients&lt;/title&gt;&lt;uuid&gt;0F488EAB-813C-4B56-B7F6-407BF6CA4760&lt;/uuid&gt;&lt;subtype&gt;400&lt;/subtype&gt;&lt;endpage&gt;731&lt;/endpage&gt;&lt;type&gt;400&lt;/type&gt;&lt;url&gt;http://link.springer.com/10.1007/s10549-009-0674-9&lt;/url&gt;&lt;bundle&gt;&lt;publication&gt;&lt;title&gt;Breast cancer research and treatment&lt;/title&gt;&lt;type&gt;-100&lt;/type&gt;&lt;subtype&gt;-100&lt;/subtype&gt;&lt;uuid&gt;EF9D461C-3E27-4C31-8687-802986E6C846&lt;/uuid&gt;&lt;/publication&gt;&lt;/bundle&gt;&lt;authors&gt;&lt;author&gt;&lt;firstName&gt;Balázs&lt;/firstName&gt;&lt;lastName&gt;Győrffy&lt;/lastName&gt;&lt;/author&gt;&lt;author&gt;&lt;firstName&gt;Andras&lt;/firstName&gt;&lt;lastName&gt;Lanczky&lt;/lastName&gt;&lt;/author&gt;&lt;author&gt;&lt;firstName&gt;Aron&lt;/firstName&gt;&lt;middleNames&gt;C&lt;/middleNames&gt;&lt;lastName&gt;Eklund&lt;/lastName&gt;&lt;/author&gt;&lt;author&gt;&lt;firstName&gt;Carsten&lt;/firstName&gt;&lt;lastName&gt;Denkert&lt;/lastName&gt;&lt;/author&gt;&lt;author&gt;&lt;firstName&gt;Jan&lt;/firstName&gt;&lt;lastName&gt;Budczies&lt;/lastName&gt;&lt;/author&gt;&lt;author&gt;&lt;firstName&gt;Qiyuan&lt;/firstName&gt;&lt;lastName&gt;Li&lt;/lastName&gt;&lt;/author&gt;&lt;author&gt;&lt;firstName&gt;Zoltan&lt;/firstName&gt;&lt;lastName&gt;Szallasi&lt;/lastName&gt;&lt;/author&gt;&lt;/authors&gt;&lt;/publication&gt;&lt;/publications&gt;&lt;cites&gt;&lt;/cites&gt;&lt;/citation&gt;</w:instrText>
      </w:r>
      <w:r w:rsidRPr="00757F1D">
        <w:rPr>
          <w:rFonts w:ascii="Arial" w:hAnsi="Arial"/>
          <w:iCs/>
          <w:sz w:val="20"/>
          <w:szCs w:val="20"/>
          <w:highlight w:val="yellow"/>
          <w:lang w:val="en-US"/>
        </w:rPr>
        <w:fldChar w:fldCharType="separate"/>
      </w:r>
      <w:r w:rsidRPr="00757F1D">
        <w:rPr>
          <w:rFonts w:ascii="Arial" w:hAnsi="Arial"/>
          <w:sz w:val="20"/>
          <w:szCs w:val="20"/>
          <w:highlight w:val="yellow"/>
          <w:lang w:val="en-US" w:eastAsia="en-US"/>
        </w:rPr>
        <w:t>(</w:t>
      </w:r>
      <w:proofErr w:type="spellStart"/>
      <w:r w:rsidRPr="00757F1D">
        <w:rPr>
          <w:rFonts w:ascii="Arial" w:hAnsi="Arial"/>
          <w:sz w:val="20"/>
          <w:szCs w:val="20"/>
          <w:highlight w:val="yellow"/>
          <w:lang w:val="en-US" w:eastAsia="en-US"/>
        </w:rPr>
        <w:t>Frietze</w:t>
      </w:r>
      <w:proofErr w:type="spellEnd"/>
      <w:r w:rsidRPr="00757F1D">
        <w:rPr>
          <w:rFonts w:ascii="Arial" w:hAnsi="Arial"/>
          <w:sz w:val="20"/>
          <w:szCs w:val="20"/>
          <w:highlight w:val="yellow"/>
          <w:lang w:val="en-US" w:eastAsia="en-US"/>
        </w:rPr>
        <w:t xml:space="preserve"> et al. 2014; </w:t>
      </w:r>
      <w:proofErr w:type="spellStart"/>
      <w:r w:rsidRPr="00757F1D">
        <w:rPr>
          <w:rFonts w:ascii="Arial" w:hAnsi="Arial"/>
          <w:sz w:val="20"/>
          <w:szCs w:val="20"/>
          <w:highlight w:val="yellow"/>
          <w:lang w:val="en-US" w:eastAsia="en-US"/>
        </w:rPr>
        <w:t>Győrffy</w:t>
      </w:r>
      <w:proofErr w:type="spellEnd"/>
      <w:r w:rsidRPr="00757F1D">
        <w:rPr>
          <w:rFonts w:ascii="Arial" w:hAnsi="Arial"/>
          <w:sz w:val="20"/>
          <w:szCs w:val="20"/>
          <w:highlight w:val="yellow"/>
          <w:lang w:val="en-US" w:eastAsia="en-US"/>
        </w:rPr>
        <w:t xml:space="preserve"> et al. 2009)</w:t>
      </w:r>
      <w:r w:rsidRPr="00E83567">
        <w:rPr>
          <w:rFonts w:ascii="Arial" w:hAnsi="Arial"/>
          <w:iCs/>
          <w:sz w:val="20"/>
          <w:szCs w:val="20"/>
          <w:highlight w:val="yellow"/>
          <w:lang w:val="en-US"/>
        </w:rPr>
        <w:fldChar w:fldCharType="end"/>
      </w:r>
      <w:r w:rsidRPr="00C6016D">
        <w:rPr>
          <w:rFonts w:ascii="Arial" w:hAnsi="Arial"/>
          <w:bCs/>
          <w:sz w:val="20"/>
          <w:szCs w:val="20"/>
          <w:highlight w:val="yellow"/>
          <w:lang w:val="en-US"/>
        </w:rPr>
        <w:t xml:space="preserve">. (B) Survival analysis of 44 ER+ </w:t>
      </w:r>
      <w:proofErr w:type="spellStart"/>
      <w:r w:rsidRPr="00C6016D">
        <w:rPr>
          <w:rFonts w:ascii="Arial" w:hAnsi="Arial"/>
          <w:bCs/>
          <w:sz w:val="20"/>
          <w:szCs w:val="20"/>
          <w:highlight w:val="yellow"/>
          <w:lang w:val="en-US"/>
        </w:rPr>
        <w:t>tamoxifen</w:t>
      </w:r>
      <w:proofErr w:type="spellEnd"/>
      <w:r w:rsidRPr="00C6016D">
        <w:rPr>
          <w:rFonts w:ascii="Arial" w:hAnsi="Arial"/>
          <w:bCs/>
          <w:sz w:val="20"/>
          <w:szCs w:val="20"/>
          <w:highlight w:val="yellow"/>
          <w:lang w:val="en-US"/>
        </w:rPr>
        <w:t xml:space="preserve"> treated patients based on miR-503 high/low status</w:t>
      </w:r>
      <w:r>
        <w:rPr>
          <w:rFonts w:ascii="Arial" w:hAnsi="Arial"/>
          <w:bCs/>
          <w:sz w:val="20"/>
          <w:szCs w:val="20"/>
          <w:highlight w:val="yellow"/>
          <w:lang w:val="en-US"/>
        </w:rPr>
        <w:t xml:space="preserve"> (</w:t>
      </w:r>
      <w:proofErr w:type="spellStart"/>
      <w:r w:rsidRPr="00757F1D">
        <w:rPr>
          <w:rFonts w:ascii="Arial" w:hAnsi="Arial"/>
          <w:sz w:val="20"/>
          <w:szCs w:val="20"/>
          <w:highlight w:val="yellow"/>
          <w:lang w:val="en-US" w:eastAsia="en-US"/>
        </w:rPr>
        <w:t>Antonov</w:t>
      </w:r>
      <w:proofErr w:type="spellEnd"/>
      <w:r w:rsidRPr="00757F1D">
        <w:rPr>
          <w:rFonts w:ascii="Arial" w:hAnsi="Arial"/>
          <w:sz w:val="20"/>
          <w:szCs w:val="20"/>
          <w:highlight w:val="yellow"/>
          <w:lang w:val="en-US" w:eastAsia="en-US"/>
        </w:rPr>
        <w:t xml:space="preserve"> et al. 2013; </w:t>
      </w:r>
      <w:proofErr w:type="spellStart"/>
      <w:r w:rsidRPr="00757F1D">
        <w:rPr>
          <w:rFonts w:ascii="Arial" w:hAnsi="Arial"/>
          <w:sz w:val="20"/>
          <w:szCs w:val="20"/>
          <w:highlight w:val="yellow"/>
          <w:lang w:val="en-US" w:eastAsia="en-US"/>
        </w:rPr>
        <w:t>Lyng</w:t>
      </w:r>
      <w:proofErr w:type="spellEnd"/>
      <w:r w:rsidRPr="00757F1D">
        <w:rPr>
          <w:rFonts w:ascii="Arial" w:hAnsi="Arial"/>
          <w:sz w:val="20"/>
          <w:szCs w:val="20"/>
          <w:highlight w:val="yellow"/>
          <w:lang w:val="en-US" w:eastAsia="en-US"/>
        </w:rPr>
        <w:t xml:space="preserve"> et al. 2012; </w:t>
      </w:r>
      <w:proofErr w:type="spellStart"/>
      <w:r w:rsidRPr="00757F1D">
        <w:rPr>
          <w:rFonts w:ascii="Arial" w:hAnsi="Arial"/>
          <w:sz w:val="20"/>
          <w:szCs w:val="20"/>
          <w:highlight w:val="yellow"/>
          <w:lang w:val="en-US" w:eastAsia="en-US"/>
        </w:rPr>
        <w:t>Antonov</w:t>
      </w:r>
      <w:proofErr w:type="spellEnd"/>
      <w:r w:rsidRPr="00757F1D">
        <w:rPr>
          <w:rFonts w:ascii="Arial" w:hAnsi="Arial"/>
          <w:sz w:val="20"/>
          <w:szCs w:val="20"/>
          <w:highlight w:val="yellow"/>
          <w:lang w:val="en-US" w:eastAsia="en-US"/>
        </w:rPr>
        <w:t xml:space="preserve"> 2011</w:t>
      </w:r>
      <w:r>
        <w:rPr>
          <w:rFonts w:ascii="Arial" w:hAnsi="Arial"/>
          <w:sz w:val="20"/>
          <w:szCs w:val="20"/>
          <w:highlight w:val="yellow"/>
          <w:lang w:val="en-US" w:eastAsia="en-US"/>
        </w:rPr>
        <w:t>)</w:t>
      </w:r>
      <w:r w:rsidRPr="00C6016D">
        <w:rPr>
          <w:rFonts w:ascii="Arial" w:hAnsi="Arial"/>
          <w:bCs/>
          <w:sz w:val="20"/>
          <w:szCs w:val="20"/>
          <w:highlight w:val="yellow"/>
          <w:lang w:val="en-US"/>
        </w:rPr>
        <w:t>.</w:t>
      </w:r>
      <w:r>
        <w:rPr>
          <w:rFonts w:ascii="Arial" w:hAnsi="Arial"/>
          <w:bCs/>
          <w:sz w:val="20"/>
          <w:szCs w:val="20"/>
          <w:lang w:val="en-US"/>
        </w:rPr>
        <w:t xml:space="preserve"> </w:t>
      </w:r>
    </w:p>
    <w:p w:rsidR="00E402B8" w:rsidRPr="00B56CA8" w:rsidRDefault="00E402B8" w:rsidP="00E402B8">
      <w:pPr>
        <w:spacing w:line="360" w:lineRule="auto"/>
        <w:rPr>
          <w:rFonts w:ascii="Arial" w:hAnsi="Arial"/>
          <w:b/>
          <w:sz w:val="20"/>
          <w:szCs w:val="20"/>
          <w:lang w:val="en-US"/>
        </w:rPr>
      </w:pPr>
      <w:r w:rsidRPr="00B56CA8">
        <w:rPr>
          <w:rFonts w:ascii="Arial" w:hAnsi="Arial"/>
          <w:b/>
          <w:sz w:val="20"/>
          <w:szCs w:val="20"/>
          <w:lang w:val="en-US"/>
        </w:rPr>
        <w:t xml:space="preserve">Table S1: Statistics for high throughput sequencing. </w:t>
      </w:r>
      <w:r w:rsidRPr="00B56CA8">
        <w:rPr>
          <w:rFonts w:ascii="Arial" w:hAnsi="Arial"/>
          <w:sz w:val="20"/>
          <w:szCs w:val="20"/>
          <w:lang w:val="en-US"/>
        </w:rPr>
        <w:t>This table displays the mapping statistics for both RNA-</w:t>
      </w:r>
      <w:proofErr w:type="spellStart"/>
      <w:r w:rsidRPr="00B56CA8">
        <w:rPr>
          <w:rFonts w:ascii="Arial" w:hAnsi="Arial"/>
          <w:sz w:val="20"/>
          <w:szCs w:val="20"/>
          <w:lang w:val="en-US"/>
        </w:rPr>
        <w:t>seq</w:t>
      </w:r>
      <w:proofErr w:type="spellEnd"/>
      <w:r w:rsidRPr="00B56CA8">
        <w:rPr>
          <w:rFonts w:ascii="Arial" w:hAnsi="Arial"/>
          <w:sz w:val="20"/>
          <w:szCs w:val="20"/>
          <w:lang w:val="en-US"/>
        </w:rPr>
        <w:t xml:space="preserve"> and small RNA-</w:t>
      </w:r>
      <w:proofErr w:type="spellStart"/>
      <w:r w:rsidRPr="00B56CA8">
        <w:rPr>
          <w:rFonts w:ascii="Arial" w:hAnsi="Arial"/>
          <w:sz w:val="20"/>
          <w:szCs w:val="20"/>
          <w:lang w:val="en-US"/>
        </w:rPr>
        <w:t>seq</w:t>
      </w:r>
      <w:proofErr w:type="spellEnd"/>
      <w:r w:rsidRPr="00B56CA8">
        <w:rPr>
          <w:rFonts w:ascii="Arial" w:hAnsi="Arial"/>
          <w:sz w:val="20"/>
          <w:szCs w:val="20"/>
          <w:lang w:val="en-US"/>
        </w:rPr>
        <w:t xml:space="preserve"> libraries for the 30 samples sequenced. RNA-</w:t>
      </w:r>
      <w:proofErr w:type="spellStart"/>
      <w:r w:rsidRPr="00B56CA8">
        <w:rPr>
          <w:rFonts w:ascii="Arial" w:hAnsi="Arial"/>
          <w:sz w:val="20"/>
          <w:szCs w:val="20"/>
          <w:lang w:val="en-US"/>
        </w:rPr>
        <w:t>seq</w:t>
      </w:r>
      <w:proofErr w:type="spellEnd"/>
      <w:r w:rsidRPr="00B56CA8">
        <w:rPr>
          <w:rFonts w:ascii="Arial" w:hAnsi="Arial"/>
          <w:sz w:val="20"/>
          <w:szCs w:val="20"/>
          <w:lang w:val="en-US"/>
        </w:rPr>
        <w:t xml:space="preserve"> statistics are collected from the </w:t>
      </w:r>
      <w:proofErr w:type="spellStart"/>
      <w:r w:rsidRPr="00B56CA8">
        <w:rPr>
          <w:rFonts w:ascii="Arial" w:hAnsi="Arial"/>
          <w:sz w:val="20"/>
          <w:szCs w:val="20"/>
          <w:lang w:val="en-US"/>
        </w:rPr>
        <w:t>MapSplice</w:t>
      </w:r>
      <w:proofErr w:type="spellEnd"/>
      <w:r w:rsidRPr="00B56CA8">
        <w:rPr>
          <w:rFonts w:ascii="Arial" w:hAnsi="Arial"/>
          <w:sz w:val="20"/>
          <w:szCs w:val="20"/>
          <w:lang w:val="en-US"/>
        </w:rPr>
        <w:t xml:space="preserve"> algorithm, and small RNA-</w:t>
      </w:r>
      <w:proofErr w:type="spellStart"/>
      <w:r w:rsidRPr="00B56CA8">
        <w:rPr>
          <w:rFonts w:ascii="Arial" w:hAnsi="Arial"/>
          <w:sz w:val="20"/>
          <w:szCs w:val="20"/>
          <w:lang w:val="en-US"/>
        </w:rPr>
        <w:t>seq</w:t>
      </w:r>
      <w:proofErr w:type="spellEnd"/>
      <w:r w:rsidRPr="00B56CA8">
        <w:rPr>
          <w:rFonts w:ascii="Arial" w:hAnsi="Arial"/>
          <w:sz w:val="20"/>
          <w:szCs w:val="20"/>
          <w:lang w:val="en-US"/>
        </w:rPr>
        <w:t xml:space="preserve"> statistics include successfully trimmed reads (3’-adapter removed), reads too short to align (trimmed length &lt; 14), reads that perfectly align to the genome, reads that fail to align perfectly but may align with </w:t>
      </w:r>
      <w:r w:rsidRPr="00B56CA8">
        <w:rPr>
          <w:rFonts w:ascii="Arial" w:hAnsi="Arial"/>
          <w:sz w:val="20"/>
          <w:szCs w:val="20"/>
          <w:lang w:val="en-US"/>
        </w:rPr>
        <w:lastRenderedPageBreak/>
        <w:t xml:space="preserve">mismatches allowed, the total # of reads to align (perfectly or imperfectly), the read that align to annotated </w:t>
      </w:r>
      <w:proofErr w:type="spellStart"/>
      <w:r w:rsidRPr="00B56CA8">
        <w:rPr>
          <w:rFonts w:ascii="Arial" w:hAnsi="Arial"/>
          <w:sz w:val="20"/>
          <w:szCs w:val="20"/>
          <w:lang w:val="en-US"/>
        </w:rPr>
        <w:t>miRNA</w:t>
      </w:r>
      <w:proofErr w:type="spellEnd"/>
      <w:r w:rsidRPr="00B56CA8">
        <w:rPr>
          <w:rFonts w:ascii="Arial" w:hAnsi="Arial"/>
          <w:sz w:val="20"/>
          <w:szCs w:val="20"/>
          <w:lang w:val="en-US"/>
        </w:rPr>
        <w:t xml:space="preserve"> loci, and finally the read that align to </w:t>
      </w:r>
      <w:proofErr w:type="spellStart"/>
      <w:r w:rsidRPr="00B56CA8">
        <w:rPr>
          <w:rFonts w:ascii="Arial" w:hAnsi="Arial"/>
          <w:sz w:val="20"/>
          <w:szCs w:val="20"/>
          <w:lang w:val="en-US"/>
        </w:rPr>
        <w:t>tRNA</w:t>
      </w:r>
      <w:proofErr w:type="spellEnd"/>
      <w:r w:rsidRPr="00B56CA8">
        <w:rPr>
          <w:rFonts w:ascii="Arial" w:hAnsi="Arial"/>
          <w:sz w:val="20"/>
          <w:szCs w:val="20"/>
          <w:lang w:val="en-US"/>
        </w:rPr>
        <w:t xml:space="preserve"> loci. </w:t>
      </w:r>
    </w:p>
    <w:p w:rsidR="00E402B8" w:rsidRPr="00B56CA8" w:rsidRDefault="00E402B8" w:rsidP="00E402B8">
      <w:pPr>
        <w:spacing w:line="360" w:lineRule="auto"/>
        <w:rPr>
          <w:rFonts w:ascii="Arial" w:hAnsi="Arial"/>
          <w:b/>
          <w:sz w:val="20"/>
          <w:szCs w:val="20"/>
          <w:lang w:val="en-US"/>
        </w:rPr>
      </w:pPr>
      <w:r w:rsidRPr="00B56CA8">
        <w:rPr>
          <w:rFonts w:ascii="Arial" w:hAnsi="Arial"/>
          <w:b/>
          <w:sz w:val="20"/>
          <w:szCs w:val="20"/>
          <w:lang w:val="en-US"/>
        </w:rPr>
        <w:t xml:space="preserve">Table S2: Estrogen responsive mRNAs. </w:t>
      </w:r>
      <w:r w:rsidRPr="00B56CA8">
        <w:rPr>
          <w:rFonts w:ascii="Arial" w:hAnsi="Arial"/>
          <w:sz w:val="20"/>
          <w:szCs w:val="20"/>
          <w:lang w:val="en-US"/>
        </w:rPr>
        <w:t>The expression profile of 1546 mRNAs that have a significant (adjusted p-value &lt;0.05</w:t>
      </w:r>
      <w:proofErr w:type="gramStart"/>
      <w:r w:rsidRPr="00B56CA8">
        <w:rPr>
          <w:rFonts w:ascii="Arial" w:hAnsi="Arial"/>
          <w:sz w:val="20"/>
          <w:szCs w:val="20"/>
          <w:lang w:val="en-US"/>
        </w:rPr>
        <w:t>)  ≥2</w:t>
      </w:r>
      <w:proofErr w:type="gramEnd"/>
      <w:r w:rsidRPr="00B56CA8">
        <w:rPr>
          <w:rFonts w:ascii="Arial" w:hAnsi="Arial"/>
          <w:sz w:val="20"/>
          <w:szCs w:val="20"/>
          <w:lang w:val="en-US"/>
        </w:rPr>
        <w:t xml:space="preserve">-fold changes at one or more time points in response to estrogen stimulation are listed in this table. For each gene, the assigned cluster and the normalized expression at each time point </w:t>
      </w:r>
      <w:proofErr w:type="gramStart"/>
      <w:r w:rsidRPr="00B56CA8">
        <w:rPr>
          <w:rFonts w:ascii="Arial" w:hAnsi="Arial"/>
          <w:sz w:val="20"/>
          <w:szCs w:val="20"/>
          <w:lang w:val="en-US"/>
        </w:rPr>
        <w:t>is</w:t>
      </w:r>
      <w:proofErr w:type="gramEnd"/>
      <w:r w:rsidRPr="00B56CA8">
        <w:rPr>
          <w:rFonts w:ascii="Arial" w:hAnsi="Arial"/>
          <w:sz w:val="20"/>
          <w:szCs w:val="20"/>
          <w:lang w:val="en-US"/>
        </w:rPr>
        <w:t xml:space="preserve"> reported. Genes clustered into three classes (Transient, Repressed, and Induced).</w:t>
      </w:r>
    </w:p>
    <w:p w:rsidR="00E402B8" w:rsidRPr="00B56CA8" w:rsidRDefault="00E402B8" w:rsidP="00E402B8">
      <w:pPr>
        <w:spacing w:line="360" w:lineRule="auto"/>
        <w:rPr>
          <w:rFonts w:ascii="Arial" w:hAnsi="Arial"/>
          <w:b/>
          <w:sz w:val="20"/>
          <w:szCs w:val="20"/>
          <w:lang w:val="en-US"/>
        </w:rPr>
      </w:pPr>
      <w:r w:rsidRPr="00B56CA8">
        <w:rPr>
          <w:rFonts w:ascii="Arial" w:hAnsi="Arial"/>
          <w:b/>
          <w:sz w:val="20"/>
          <w:szCs w:val="20"/>
          <w:lang w:val="en-US"/>
        </w:rPr>
        <w:t xml:space="preserve">Table S3: Estrogen responsive </w:t>
      </w:r>
      <w:proofErr w:type="spellStart"/>
      <w:r w:rsidRPr="00B56CA8">
        <w:rPr>
          <w:rFonts w:ascii="Arial" w:hAnsi="Arial"/>
          <w:b/>
          <w:sz w:val="20"/>
          <w:szCs w:val="20"/>
          <w:lang w:val="en-US"/>
        </w:rPr>
        <w:t>miRNAs</w:t>
      </w:r>
      <w:proofErr w:type="spellEnd"/>
      <w:r w:rsidRPr="00B56CA8">
        <w:rPr>
          <w:rFonts w:ascii="Arial" w:hAnsi="Arial"/>
          <w:b/>
          <w:sz w:val="20"/>
          <w:szCs w:val="20"/>
          <w:lang w:val="en-US"/>
        </w:rPr>
        <w:t xml:space="preserve">. </w:t>
      </w:r>
      <w:r w:rsidRPr="00B56CA8">
        <w:rPr>
          <w:rFonts w:ascii="Arial" w:hAnsi="Arial"/>
          <w:sz w:val="20"/>
          <w:szCs w:val="20"/>
          <w:lang w:val="en-US"/>
        </w:rPr>
        <w:t xml:space="preserve">This table reports the normalized expression (RPMM) of 308 mRNAs that are expressed during the estrogen response in </w:t>
      </w:r>
      <w:r>
        <w:rPr>
          <w:rFonts w:ascii="Arial" w:hAnsi="Arial"/>
          <w:sz w:val="20"/>
          <w:szCs w:val="20"/>
          <w:lang w:val="en-US"/>
        </w:rPr>
        <w:t>MCF-7</w:t>
      </w:r>
      <w:r w:rsidRPr="00B56CA8">
        <w:rPr>
          <w:rFonts w:ascii="Arial" w:hAnsi="Arial"/>
          <w:sz w:val="20"/>
          <w:szCs w:val="20"/>
          <w:lang w:val="en-US"/>
        </w:rPr>
        <w:t xml:space="preserve"> cells. </w:t>
      </w:r>
      <w:proofErr w:type="spellStart"/>
      <w:proofErr w:type="gramStart"/>
      <w:r w:rsidRPr="00B56CA8">
        <w:rPr>
          <w:rFonts w:ascii="Arial" w:hAnsi="Arial"/>
          <w:sz w:val="20"/>
          <w:szCs w:val="20"/>
          <w:lang w:val="en-US"/>
        </w:rPr>
        <w:t>miRNAs</w:t>
      </w:r>
      <w:proofErr w:type="spellEnd"/>
      <w:proofErr w:type="gramEnd"/>
      <w:r w:rsidRPr="00B56CA8">
        <w:rPr>
          <w:rFonts w:ascii="Arial" w:hAnsi="Arial"/>
          <w:sz w:val="20"/>
          <w:szCs w:val="20"/>
          <w:lang w:val="en-US"/>
        </w:rPr>
        <w:t xml:space="preserve"> that have a significant (p-value &lt;0.05)  ≥1.5-fold changes at one or more time points in response to estrogen stimulation are highlighted in green. </w:t>
      </w:r>
    </w:p>
    <w:p w:rsidR="00E402B8" w:rsidRDefault="00E402B8" w:rsidP="00E402B8">
      <w:pPr>
        <w:spacing w:line="360" w:lineRule="auto"/>
        <w:rPr>
          <w:rFonts w:ascii="Arial" w:hAnsi="Arial"/>
          <w:sz w:val="20"/>
          <w:szCs w:val="20"/>
          <w:lang w:val="en-US"/>
        </w:rPr>
      </w:pPr>
      <w:r w:rsidRPr="00B56CA8">
        <w:rPr>
          <w:rFonts w:ascii="Arial" w:hAnsi="Arial"/>
          <w:b/>
          <w:sz w:val="20"/>
          <w:szCs w:val="20"/>
          <w:lang w:val="en-US"/>
        </w:rPr>
        <w:t xml:space="preserve">Table S4: Characteristic Directions analysis. </w:t>
      </w:r>
      <w:r w:rsidRPr="00B56CA8">
        <w:rPr>
          <w:rFonts w:ascii="Arial" w:hAnsi="Arial"/>
          <w:sz w:val="20"/>
          <w:szCs w:val="20"/>
          <w:lang w:val="en-US"/>
        </w:rPr>
        <w:t>This table reports the direction cosine coefficient for the normal vector to the hyper plane that separates gene expression in each time interval listed. Genes are sorted by maximum absolute value of the coefficient across all time intervals.</w:t>
      </w:r>
    </w:p>
    <w:p w:rsidR="00CB4E02" w:rsidRDefault="00CB4E02">
      <w:bookmarkStart w:id="0" w:name="_GoBack"/>
      <w:bookmarkEnd w:id="0"/>
    </w:p>
    <w:sectPr w:rsidR="00CB4E02" w:rsidSect="00CB4E0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A00002EF" w:usb1="4000207B" w:usb2="00000000" w:usb3="00000000" w:csb0="0000009F" w:csb1="00000000"/>
  </w:font>
  <w:font w:name="SimSun">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2B8"/>
    <w:rsid w:val="00CB4E02"/>
    <w:rsid w:val="00E402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47CC6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B8"/>
    <w:pPr>
      <w:spacing w:after="200" w:line="276" w:lineRule="auto"/>
    </w:pPr>
    <w:rPr>
      <w:rFonts w:ascii="Calibri" w:eastAsia="SimSun" w:hAnsi="Calibri" w:cs="Arial"/>
      <w:sz w:val="22"/>
      <w:szCs w:val="22"/>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B8"/>
    <w:pPr>
      <w:spacing w:after="200" w:line="276" w:lineRule="auto"/>
    </w:pPr>
    <w:rPr>
      <w:rFonts w:ascii="Calibri" w:eastAsia="SimSun" w:hAnsi="Calibri" w:cs="Arial"/>
      <w:sz w:val="22"/>
      <w:szCs w:val="22"/>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1036</Words>
  <Characters>5911</Characters>
  <Application>Microsoft Macintosh Word</Application>
  <DocSecurity>0</DocSecurity>
  <Lines>49</Lines>
  <Paragraphs>13</Paragraphs>
  <ScaleCrop>false</ScaleCrop>
  <Company/>
  <LinksUpToDate>false</LinksUpToDate>
  <CharactersWithSpaces>6934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2016-07-28T14:26:00Z</dcterms:created>
  <dcterms:modified xsi:type="dcterms:W3CDTF">2016-07-28T14:27:00Z</dcterms:modified>
</cp:coreProperties>
</file>