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B2D" w:rsidRPr="00CF5AC0" w:rsidRDefault="006D5B2D" w:rsidP="006D5B2D">
      <w:pPr>
        <w:spacing w:line="480" w:lineRule="auto"/>
        <w:rPr>
          <w:b/>
        </w:rPr>
      </w:pPr>
      <w:r w:rsidRPr="00CF5AC0">
        <w:rPr>
          <w:b/>
        </w:rPr>
        <w:t>Additional data files</w:t>
      </w:r>
    </w:p>
    <w:p w:rsidR="006D5B2D" w:rsidRPr="002F1ED9" w:rsidRDefault="006D5B2D" w:rsidP="006D5B2D">
      <w:pPr>
        <w:spacing w:line="480" w:lineRule="auto"/>
      </w:pPr>
      <w:r w:rsidRPr="001D4ACF">
        <w:t>Table S1</w:t>
      </w:r>
      <w:r>
        <w:t xml:space="preserve"> presents all detectable </w:t>
      </w:r>
      <w:r w:rsidRPr="002F1ED9">
        <w:t>peptide</w:t>
      </w:r>
      <w:r>
        <w:t xml:space="preserve">s </w:t>
      </w:r>
      <w:r w:rsidRPr="002F1ED9">
        <w:t>from IP-MS analysis</w:t>
      </w:r>
      <w:r>
        <w:t xml:space="preserve">. Specifically, </w:t>
      </w:r>
      <w:r>
        <w:rPr>
          <w:u w:val="single"/>
        </w:rPr>
        <w:t>tab 1</w:t>
      </w:r>
      <w:r>
        <w:t xml:space="preserve"> is</w:t>
      </w:r>
      <w:r w:rsidRPr="002F1ED9">
        <w:t xml:space="preserve"> </w:t>
      </w:r>
      <w:r>
        <w:t xml:space="preserve">analysis </w:t>
      </w:r>
      <w:r w:rsidRPr="002F1ED9">
        <w:t>of 3xFLAG::FBF-1</w:t>
      </w:r>
      <w:r>
        <w:t xml:space="preserve"> and </w:t>
      </w:r>
      <w:r>
        <w:rPr>
          <w:u w:val="single"/>
        </w:rPr>
        <w:t xml:space="preserve">tab </w:t>
      </w:r>
      <w:r w:rsidRPr="00391310">
        <w:rPr>
          <w:u w:val="single"/>
        </w:rPr>
        <w:t>2</w:t>
      </w:r>
      <w:r>
        <w:t xml:space="preserve"> is analysis of </w:t>
      </w:r>
      <w:r w:rsidRPr="00391310">
        <w:t>3xFLAG</w:t>
      </w:r>
      <w:r w:rsidRPr="002F1ED9">
        <w:t>::FBF-2</w:t>
      </w:r>
      <w:r>
        <w:t xml:space="preserve">. </w:t>
      </w:r>
      <w:r w:rsidRPr="001D4ACF">
        <w:t>Table S2</w:t>
      </w:r>
      <w:r w:rsidRPr="002F1ED9">
        <w:t xml:space="preserve"> presents iCLIP peak data for FBF-1, FBF-2, </w:t>
      </w:r>
      <w:r>
        <w:t>and “</w:t>
      </w:r>
      <w:r w:rsidRPr="002F1ED9">
        <w:t>FBF targets</w:t>
      </w:r>
      <w:r>
        <w:t xml:space="preserve">”. </w:t>
      </w:r>
      <w:r w:rsidRPr="009144C7">
        <w:t>Columns in the table list peak heights as</w:t>
      </w:r>
      <w:bookmarkStart w:id="0" w:name="_GoBack"/>
      <w:bookmarkEnd w:id="0"/>
      <w:r w:rsidRPr="009144C7">
        <w:t xml:space="preserve"> raw values and also as values normalized to RNA abundance; for</w:t>
      </w:r>
      <w:r>
        <w:t xml:space="preserve"> the latter, we report normalization to either of two RNA-seq datasets (whole worm or whole gonad). Specifically, </w:t>
      </w:r>
      <w:r>
        <w:rPr>
          <w:u w:val="single"/>
        </w:rPr>
        <w:t xml:space="preserve">tab </w:t>
      </w:r>
      <w:r w:rsidRPr="00ED7809">
        <w:rPr>
          <w:u w:val="single"/>
        </w:rPr>
        <w:t>1</w:t>
      </w:r>
      <w:r>
        <w:t xml:space="preserve"> is </w:t>
      </w:r>
      <w:r w:rsidRPr="00ED7809">
        <w:t>FBF</w:t>
      </w:r>
      <w:r>
        <w:t xml:space="preserve">-1 versus negative control for FBF-1, </w:t>
      </w:r>
      <w:r w:rsidRPr="00ED7809">
        <w:rPr>
          <w:u w:val="single"/>
        </w:rPr>
        <w:t>tab 2</w:t>
      </w:r>
      <w:r>
        <w:t xml:space="preserve"> is FBF-1 versus negative control for FBF-2, </w:t>
      </w:r>
      <w:r w:rsidRPr="00ED7809">
        <w:rPr>
          <w:u w:val="single"/>
        </w:rPr>
        <w:t>tab 3</w:t>
      </w:r>
      <w:r>
        <w:t xml:space="preserve"> is FBF-2 versus negative control for FBF-2, </w:t>
      </w:r>
      <w:r>
        <w:rPr>
          <w:u w:val="single"/>
        </w:rPr>
        <w:t>tab 4</w:t>
      </w:r>
      <w:r w:rsidRPr="009226EA">
        <w:t xml:space="preserve"> and </w:t>
      </w:r>
      <w:r>
        <w:rPr>
          <w:u w:val="single"/>
        </w:rPr>
        <w:t>tab 5</w:t>
      </w:r>
      <w:r>
        <w:t xml:space="preserve"> are “FBF peaks” with and without non-coding RNA, and </w:t>
      </w:r>
      <w:r>
        <w:rPr>
          <w:u w:val="single"/>
        </w:rPr>
        <w:t>tab 6</w:t>
      </w:r>
      <w:r w:rsidRPr="009226EA">
        <w:t xml:space="preserve"> and </w:t>
      </w:r>
      <w:r>
        <w:rPr>
          <w:u w:val="single"/>
        </w:rPr>
        <w:t>tab 7</w:t>
      </w:r>
      <w:r>
        <w:t xml:space="preserve"> are “FBF peaks” present and not present in a previous RIP-chip analysis </w:t>
      </w:r>
      <w:r>
        <w:fldChar w:fldCharType="begin"/>
      </w:r>
      <w:r>
        <w:instrText xml:space="preserve"> ADDIN EN.CITE &lt;EndNote&gt;&lt;Cite&gt;&lt;Author&gt;Kershner&lt;/Author&gt;&lt;Year&gt;2010&lt;/Year&gt;&lt;RecNum&gt;13&lt;/RecNum&gt;&lt;DisplayText&gt;(Kershner and Kimble 2010)&lt;/DisplayText&gt;&lt;record&gt;&lt;rec-number&gt;13&lt;/rec-number&gt;&lt;foreign-keys&gt;&lt;key app="EN" db-id="tpwz2dwd8vffezestdopv52u2t5pew2sswda" timestamp="1442093202"&gt;13&lt;/key&gt;&lt;/foreign-keys&gt;&lt;ref-type name="Journal Article"&gt;17&lt;/ref-type&gt;&lt;contributors&gt;&lt;authors&gt;&lt;author&gt;Kershner, A. M.&lt;/author&gt;&lt;author&gt;Kimble, J.&lt;/author&gt;&lt;/authors&gt;&lt;/contributors&gt;&lt;auth-address&gt;Department of Biochemistry, University of Wisconsin, Madison, WI 53706, USA.&lt;/auth-address&gt;&lt;titles&gt;&lt;title&gt;&lt;style face="normal" font="default" size="100%"&gt;Genome-wide analysis of mRNA targets for &lt;/style&gt;&lt;style face="italic" font="default" size="100%"&gt;Caenorhabditis elegans&lt;/style&gt;&lt;style face="normal" font="default" size="100%"&gt; FBF, a conserved stem cell regulator&lt;/style&gt;&lt;/title&gt;&lt;secondary-title&gt;Proc Natl Acad Sci U S A&lt;/secondary-title&gt;&lt;/titles&gt;&lt;periodical&gt;&lt;full-title&gt;Proc Natl Acad Sci U S A&lt;/full-title&gt;&lt;/periodical&gt;&lt;pages&gt;3936-41&lt;/pages&gt;&lt;volume&gt;107&lt;/volume&gt;&lt;number&gt;8&lt;/number&gt;&lt;keywords&gt;&lt;keyword&gt;Animals&lt;/keyword&gt;&lt;keyword&gt;Caenorhabditis elegans/genetics/*metabolism&lt;/keyword&gt;&lt;keyword&gt;Caenorhabditis elegans Proteins/*metabolism&lt;/keyword&gt;&lt;keyword&gt;Drosophila&lt;/keyword&gt;&lt;keyword&gt;Gene Expression Regulation&lt;/keyword&gt;&lt;keyword&gt;*Genes, Helminth&lt;/keyword&gt;&lt;keyword&gt;Humans&lt;/keyword&gt;&lt;keyword&gt;RNA, Messenger/*metabolism&lt;/keyword&gt;&lt;keyword&gt;RNA-Binding Proteins/*metabolism&lt;/keyword&gt;&lt;keyword&gt;Stem Cells/*metabolism&lt;/keyword&gt;&lt;/keywords&gt;&lt;dates&gt;&lt;year&gt;2010&lt;/year&gt;&lt;pub-dates&gt;&lt;date&gt;Feb 23&lt;/date&gt;&lt;/pub-dates&gt;&lt;/dates&gt;&lt;isbn&gt;1091-6490 (Electronic)&amp;#xD;0027-8424 (Linking)&lt;/isbn&gt;&lt;accession-num&gt;20142496&lt;/accession-num&gt;&lt;urls&gt;&lt;related-urls&gt;&lt;url&gt;http://www.ncbi.nlm.nih.gov/pubmed/20142496&lt;/url&gt;&lt;/related-urls&gt;&lt;/urls&gt;&lt;custom2&gt;PMC2840422&lt;/custom2&gt;&lt;electronic-resource-num&gt;10.1073/pnas.1000495107&lt;/electronic-resource-num&gt;&lt;/record&gt;&lt;/Cite&gt;&lt;/EndNote&gt;</w:instrText>
      </w:r>
      <w:r>
        <w:fldChar w:fldCharType="separate"/>
      </w:r>
      <w:r>
        <w:rPr>
          <w:noProof/>
        </w:rPr>
        <w:t>(Kershner and Kimble 2010)</w:t>
      </w:r>
      <w:r>
        <w:fldChar w:fldCharType="end"/>
      </w:r>
      <w:r>
        <w:t xml:space="preserve">. </w:t>
      </w:r>
      <w:r w:rsidRPr="001D4ACF">
        <w:t>Table S3</w:t>
      </w:r>
      <w:r w:rsidRPr="002F1ED9">
        <w:t xml:space="preserve"> pres</w:t>
      </w:r>
      <w:r>
        <w:t xml:space="preserve">ents target genes </w:t>
      </w:r>
      <w:r w:rsidRPr="002F1ED9">
        <w:t>two-fold enriched</w:t>
      </w:r>
      <w:r>
        <w:t xml:space="preserve"> (log scale)</w:t>
      </w:r>
      <w:r w:rsidRPr="002F1ED9">
        <w:t xml:space="preserve"> by read count in either FBF-1 or FBF-2 data</w:t>
      </w:r>
      <w:r>
        <w:t xml:space="preserve">sets. </w:t>
      </w:r>
      <w:r w:rsidRPr="001D4ACF">
        <w:t>Table S4</w:t>
      </w:r>
      <w:r>
        <w:t xml:space="preserve"> presents FBF targets by peak location. Specifically, </w:t>
      </w:r>
      <w:r>
        <w:rPr>
          <w:u w:val="single"/>
        </w:rPr>
        <w:t xml:space="preserve">tab </w:t>
      </w:r>
      <w:r w:rsidRPr="00391310">
        <w:rPr>
          <w:u w:val="single"/>
        </w:rPr>
        <w:t>1</w:t>
      </w:r>
      <w:r w:rsidRPr="009226EA">
        <w:t xml:space="preserve"> </w:t>
      </w:r>
      <w:r>
        <w:t>is targets that contained at least one 5</w:t>
      </w:r>
      <w:r w:rsidRPr="003456C1">
        <w:t>’UTR</w:t>
      </w:r>
      <w:r>
        <w:t xml:space="preserve"> peak, </w:t>
      </w:r>
      <w:r w:rsidRPr="00391310">
        <w:rPr>
          <w:u w:val="single"/>
        </w:rPr>
        <w:t>tab 2</w:t>
      </w:r>
      <w:r>
        <w:t xml:space="preserve"> is targets containing at least one coding sequence (CDS) peak, </w:t>
      </w:r>
      <w:r>
        <w:rPr>
          <w:u w:val="single"/>
        </w:rPr>
        <w:t>tab 3</w:t>
      </w:r>
      <w:r>
        <w:t xml:space="preserve"> is targets containing </w:t>
      </w:r>
      <w:r w:rsidRPr="003456C1">
        <w:t>3’UTR and 5’UTR peaks</w:t>
      </w:r>
      <w:r>
        <w:t xml:space="preserve">, </w:t>
      </w:r>
      <w:r w:rsidRPr="00391310">
        <w:rPr>
          <w:u w:val="single"/>
        </w:rPr>
        <w:t>tab 4</w:t>
      </w:r>
      <w:r>
        <w:t xml:space="preserve"> is </w:t>
      </w:r>
      <w:r w:rsidRPr="003456C1">
        <w:t xml:space="preserve">targets </w:t>
      </w:r>
      <w:r>
        <w:t>containing</w:t>
      </w:r>
      <w:r w:rsidRPr="003456C1">
        <w:t xml:space="preserve"> 3’UTR and CDS peaks</w:t>
      </w:r>
      <w:r>
        <w:t xml:space="preserve">, and </w:t>
      </w:r>
      <w:r>
        <w:rPr>
          <w:u w:val="single"/>
        </w:rPr>
        <w:t>tab 5</w:t>
      </w:r>
      <w:r>
        <w:t xml:space="preserve"> is targets containing peaks in all three locations.</w:t>
      </w:r>
      <w:r w:rsidRPr="002F1ED9">
        <w:t xml:space="preserve"> </w:t>
      </w:r>
      <w:r w:rsidRPr="001D4ACF">
        <w:t>Table S5</w:t>
      </w:r>
      <w:r w:rsidRPr="002F1ED9">
        <w:t xml:space="preserve"> presents </w:t>
      </w:r>
      <w:r w:rsidRPr="00AC5824">
        <w:rPr>
          <w:u w:val="single"/>
        </w:rPr>
        <w:t>tab 1</w:t>
      </w:r>
      <w:r w:rsidRPr="009226EA">
        <w:t>:</w:t>
      </w:r>
      <w:r>
        <w:t xml:space="preserve"> FBF targets critical for germline sex determination, </w:t>
      </w:r>
      <w:r>
        <w:rPr>
          <w:u w:val="single"/>
        </w:rPr>
        <w:t xml:space="preserve">tab </w:t>
      </w:r>
      <w:r w:rsidRPr="00AC5824">
        <w:rPr>
          <w:u w:val="single"/>
        </w:rPr>
        <w:t>2</w:t>
      </w:r>
      <w:r w:rsidRPr="009226EA">
        <w:t>:</w:t>
      </w:r>
      <w:r>
        <w:t xml:space="preserve"> </w:t>
      </w:r>
      <w:r w:rsidRPr="00AC5824">
        <w:t>FBF</w:t>
      </w:r>
      <w:r>
        <w:t xml:space="preserve"> targets shared with</w:t>
      </w:r>
      <w:r w:rsidRPr="002F1ED9">
        <w:t xml:space="preserve"> </w:t>
      </w:r>
      <w:r>
        <w:t xml:space="preserve">yeast Puf3 and Puf5, </w:t>
      </w:r>
      <w:r>
        <w:rPr>
          <w:u w:val="single"/>
        </w:rPr>
        <w:t xml:space="preserve">tab </w:t>
      </w:r>
      <w:r w:rsidRPr="00AC5824">
        <w:rPr>
          <w:u w:val="single"/>
        </w:rPr>
        <w:t>3</w:t>
      </w:r>
      <w:r>
        <w:t xml:space="preserve">: </w:t>
      </w:r>
      <w:r w:rsidRPr="00AC5824">
        <w:t>FBF</w:t>
      </w:r>
      <w:r w:rsidRPr="002F1ED9">
        <w:t xml:space="preserve"> targets</w:t>
      </w:r>
      <w:r>
        <w:t xml:space="preserve"> shared with</w:t>
      </w:r>
      <w:r w:rsidRPr="002F1ED9">
        <w:t xml:space="preserve"> </w:t>
      </w:r>
      <w:r>
        <w:t xml:space="preserve">human PUM2, </w:t>
      </w:r>
      <w:r w:rsidRPr="00AC5824">
        <w:rPr>
          <w:u w:val="single"/>
        </w:rPr>
        <w:t>tab 4</w:t>
      </w:r>
      <w:r>
        <w:t xml:space="preserve">: </w:t>
      </w:r>
      <w:r w:rsidRPr="00AC5824">
        <w:t>FBF</w:t>
      </w:r>
      <w:r>
        <w:t xml:space="preserve"> targets shared with</w:t>
      </w:r>
      <w:r w:rsidRPr="002F1ED9">
        <w:t xml:space="preserve"> </w:t>
      </w:r>
      <w:r>
        <w:t>yeast Puf3, Puf5, and</w:t>
      </w:r>
      <w:r w:rsidRPr="002F1ED9">
        <w:t xml:space="preserve"> </w:t>
      </w:r>
      <w:r>
        <w:t xml:space="preserve">human PUM2, </w:t>
      </w:r>
      <w:r w:rsidRPr="00AC5824">
        <w:rPr>
          <w:u w:val="single"/>
        </w:rPr>
        <w:t>tab 5</w:t>
      </w:r>
      <w:r>
        <w:t xml:space="preserve">: </w:t>
      </w:r>
      <w:r w:rsidRPr="002F1ED9">
        <w:t>FBF target</w:t>
      </w:r>
      <w:r>
        <w:t>s</w:t>
      </w:r>
      <w:r w:rsidRPr="002F1ED9">
        <w:t xml:space="preserve"> that have human orthologues</w:t>
      </w:r>
      <w:r>
        <w:t xml:space="preserve">, </w:t>
      </w:r>
      <w:r>
        <w:rPr>
          <w:u w:val="single"/>
        </w:rPr>
        <w:t>tab 6:</w:t>
      </w:r>
      <w:r>
        <w:t xml:space="preserve"> FBF cell cycle related targets are also human PUM2 targets.</w:t>
      </w:r>
    </w:p>
    <w:p w:rsidR="006D5B2D" w:rsidRDefault="006D5B2D" w:rsidP="006D5B2D">
      <w:pPr>
        <w:spacing w:line="480" w:lineRule="auto"/>
        <w:outlineLvl w:val="0"/>
        <w:rPr>
          <w:rFonts w:cs="Arial"/>
          <w:b/>
        </w:rPr>
      </w:pPr>
    </w:p>
    <w:p w:rsidR="006D5B2D" w:rsidRDefault="006D5B2D" w:rsidP="006D5B2D">
      <w:pPr>
        <w:spacing w:line="480" w:lineRule="auto"/>
        <w:outlineLvl w:val="0"/>
        <w:rPr>
          <w:rFonts w:cs="Arial"/>
          <w:b/>
        </w:rPr>
      </w:pPr>
      <w:r>
        <w:rPr>
          <w:rFonts w:cs="Arial"/>
          <w:b/>
        </w:rPr>
        <w:t>SUPPLEMENTAL FIGURES</w:t>
      </w:r>
    </w:p>
    <w:p w:rsidR="006D5B2D" w:rsidRPr="002F1ED9" w:rsidRDefault="006D5B2D" w:rsidP="006D5B2D">
      <w:pPr>
        <w:spacing w:line="480" w:lineRule="auto"/>
        <w:rPr>
          <w:rFonts w:cs="Arial"/>
        </w:rPr>
      </w:pPr>
      <w:r>
        <w:rPr>
          <w:rFonts w:cs="Arial"/>
          <w:b/>
        </w:rPr>
        <w:t>F</w:t>
      </w:r>
      <w:r w:rsidRPr="002F1ED9">
        <w:rPr>
          <w:rFonts w:cs="Arial"/>
          <w:b/>
        </w:rPr>
        <w:t xml:space="preserve">igure </w:t>
      </w:r>
      <w:r>
        <w:rPr>
          <w:rFonts w:cs="Arial"/>
          <w:b/>
        </w:rPr>
        <w:t>S</w:t>
      </w:r>
      <w:r w:rsidRPr="002F1ED9">
        <w:rPr>
          <w:rFonts w:cs="Arial"/>
          <w:b/>
        </w:rPr>
        <w:t>1.</w:t>
      </w:r>
      <w:r w:rsidRPr="002F1ED9">
        <w:t xml:space="preserve"> </w:t>
      </w:r>
      <w:r w:rsidRPr="002F1ED9">
        <w:rPr>
          <w:rFonts w:cs="Arial"/>
        </w:rPr>
        <w:t>Germline distribution of FLAG-tagged FBF-1 and FBF-2, assayed by immunocytochemistry of gonads dissected from transgenic animals [</w:t>
      </w:r>
      <w:r w:rsidRPr="00BE7847">
        <w:rPr>
          <w:rFonts w:cs="Arial"/>
          <w:u w:val="single"/>
        </w:rPr>
        <w:t>FBF-1</w:t>
      </w:r>
      <w:r>
        <w:rPr>
          <w:rFonts w:cs="Arial"/>
        </w:rPr>
        <w:t xml:space="preserve">: </w:t>
      </w:r>
      <w:r>
        <w:rPr>
          <w:rFonts w:cs="Arial"/>
          <w:i/>
        </w:rPr>
        <w:t>fbf-1(0</w:t>
      </w:r>
      <w:r w:rsidRPr="002F1ED9">
        <w:rPr>
          <w:rFonts w:cs="Arial"/>
          <w:i/>
        </w:rPr>
        <w:t>)</w:t>
      </w:r>
      <w:r w:rsidRPr="002F1ED9">
        <w:rPr>
          <w:rFonts w:cs="Arial"/>
        </w:rPr>
        <w:t xml:space="preserve"> </w:t>
      </w:r>
      <w:r w:rsidRPr="002F1ED9">
        <w:rPr>
          <w:rFonts w:cs="Arial"/>
          <w:i/>
        </w:rPr>
        <w:t>3xflag::fbf-1</w:t>
      </w:r>
      <w:r>
        <w:rPr>
          <w:rFonts w:cs="Arial"/>
        </w:rPr>
        <w:t xml:space="preserve"> and </w:t>
      </w:r>
      <w:r w:rsidRPr="00BE7847">
        <w:rPr>
          <w:rFonts w:cs="Arial"/>
          <w:u w:val="single"/>
        </w:rPr>
        <w:t>FBF-2</w:t>
      </w:r>
      <w:r>
        <w:rPr>
          <w:rFonts w:cs="Arial"/>
        </w:rPr>
        <w:t xml:space="preserve">: </w:t>
      </w:r>
      <w:r>
        <w:rPr>
          <w:rFonts w:cs="Arial"/>
          <w:i/>
        </w:rPr>
        <w:t>fbf-2(0</w:t>
      </w:r>
      <w:r w:rsidRPr="002F1ED9">
        <w:rPr>
          <w:rFonts w:cs="Arial"/>
          <w:i/>
        </w:rPr>
        <w:t>)</w:t>
      </w:r>
      <w:r>
        <w:rPr>
          <w:rFonts w:cs="Arial"/>
        </w:rPr>
        <w:t xml:space="preserve"> </w:t>
      </w:r>
      <w:r>
        <w:rPr>
          <w:rFonts w:cs="Arial"/>
          <w:i/>
        </w:rPr>
        <w:t>3xflag::fbf-2</w:t>
      </w:r>
      <w:r>
        <w:rPr>
          <w:rFonts w:cs="Arial"/>
        </w:rPr>
        <w:t>]. A</w:t>
      </w:r>
      <w:r w:rsidRPr="002F1ED9">
        <w:rPr>
          <w:rFonts w:cs="Arial"/>
        </w:rPr>
        <w:t xml:space="preserve">sterisk marks the distal end of the gonad. Left, DAPI </w:t>
      </w:r>
      <w:r w:rsidRPr="002F1ED9">
        <w:rPr>
          <w:rFonts w:cs="Arial"/>
        </w:rPr>
        <w:lastRenderedPageBreak/>
        <w:t xml:space="preserve">highlights germ cell nuclei. Right, </w:t>
      </w:r>
      <w:r>
        <w:rPr>
          <w:rFonts w:ascii="Calibri" w:hAnsi="Calibri" w:cs="Arial"/>
        </w:rPr>
        <w:t>α</w:t>
      </w:r>
      <w:r w:rsidRPr="002F1ED9">
        <w:rPr>
          <w:rFonts w:cs="Arial"/>
        </w:rPr>
        <w:t xml:space="preserve">-FLAG staining reveals distal enrichment of FLAG-tagged FBF-1 (middle </w:t>
      </w:r>
      <w:r>
        <w:rPr>
          <w:rFonts w:cs="Arial"/>
        </w:rPr>
        <w:t>right) and FBF-2 (lower right).</w:t>
      </w:r>
    </w:p>
    <w:p w:rsidR="006D5B2D" w:rsidRDefault="006D5B2D" w:rsidP="006D5B2D">
      <w:pPr>
        <w:spacing w:line="480" w:lineRule="auto"/>
        <w:rPr>
          <w:rFonts w:cs="Arial"/>
        </w:rPr>
      </w:pPr>
      <w:r>
        <w:rPr>
          <w:b/>
        </w:rPr>
        <w:t>F</w:t>
      </w:r>
      <w:r w:rsidRPr="002F1ED9">
        <w:rPr>
          <w:b/>
        </w:rPr>
        <w:t xml:space="preserve">igure </w:t>
      </w:r>
      <w:r>
        <w:rPr>
          <w:b/>
        </w:rPr>
        <w:t>S</w:t>
      </w:r>
      <w:r w:rsidRPr="002F1ED9">
        <w:rPr>
          <w:b/>
        </w:rPr>
        <w:t>2.</w:t>
      </w:r>
      <w:r w:rsidRPr="002F1ED9">
        <w:t xml:space="preserve"> </w:t>
      </w:r>
      <w:r w:rsidRPr="002F1ED9">
        <w:rPr>
          <w:rFonts w:cs="Arial"/>
        </w:rPr>
        <w:t>FLAG-tagged FBF is abundant in control animals with normal germline tissue, but is not detectable in animals lacking all germline tissue</w:t>
      </w:r>
      <w:r>
        <w:rPr>
          <w:rFonts w:cs="Arial"/>
        </w:rPr>
        <w:t>. Worms lacking germline tissue were produced</w:t>
      </w:r>
      <w:r w:rsidRPr="002F1ED9">
        <w:rPr>
          <w:rFonts w:cs="Arial"/>
        </w:rPr>
        <w:t xml:space="preserve"> </w:t>
      </w:r>
      <w:r>
        <w:rPr>
          <w:rFonts w:cs="Arial"/>
        </w:rPr>
        <w:t>by</w:t>
      </w:r>
      <w:r w:rsidRPr="002F1ED9">
        <w:rPr>
          <w:rFonts w:cs="Arial"/>
        </w:rPr>
        <w:t xml:space="preserve"> double RNAi </w:t>
      </w:r>
      <w:r>
        <w:rPr>
          <w:rFonts w:cs="Arial"/>
        </w:rPr>
        <w:t>against</w:t>
      </w:r>
      <w:r w:rsidRPr="002F1ED9">
        <w:rPr>
          <w:rFonts w:cs="Arial"/>
        </w:rPr>
        <w:t xml:space="preserve"> </w:t>
      </w:r>
      <w:r w:rsidRPr="002F1ED9">
        <w:rPr>
          <w:rFonts w:cs="Arial"/>
          <w:i/>
        </w:rPr>
        <w:t xml:space="preserve">sygl-1 </w:t>
      </w:r>
      <w:r w:rsidRPr="002F1ED9">
        <w:rPr>
          <w:rFonts w:cs="Arial"/>
        </w:rPr>
        <w:t xml:space="preserve">and </w:t>
      </w:r>
      <w:r w:rsidRPr="002F1ED9">
        <w:rPr>
          <w:rFonts w:cs="Arial"/>
          <w:i/>
        </w:rPr>
        <w:t xml:space="preserve">lst-1 </w:t>
      </w:r>
      <w:r w:rsidRPr="002F1ED9">
        <w:rPr>
          <w:rFonts w:cs="Arial"/>
        </w:rPr>
        <w:fldChar w:fldCharType="begin"/>
      </w:r>
      <w:r>
        <w:rPr>
          <w:rFonts w:cs="Arial"/>
        </w:rPr>
        <w:instrText xml:space="preserve"> ADDIN EN.CITE &lt;EndNote&gt;&lt;Cite&gt;&lt;Author&gt;Kershner&lt;/Author&gt;&lt;Year&gt;2014&lt;/Year&gt;&lt;RecNum&gt;7&lt;/RecNum&gt;&lt;DisplayText&gt;(Kershner et al. 2014)&lt;/DisplayText&gt;&lt;record&gt;&lt;rec-number&gt;7&lt;/rec-number&gt;&lt;foreign-keys&gt;&lt;key app="EN" db-id="tpwz2dwd8vffezestdopv52u2t5pew2sswda" timestamp="1442092481"&gt;7&lt;/key&gt;&lt;/foreign-keys&gt;&lt;ref-type name="Journal Article"&gt;17&lt;/ref-type&gt;&lt;contributors&gt;&lt;authors&gt;&lt;author&gt;Kershner, A. M.&lt;/author&gt;&lt;author&gt;Shin, H.&lt;/author&gt;&lt;author&gt;Hansen, T. J.&lt;/author&gt;&lt;author&gt;Kimble, J.&lt;/author&gt;&lt;/authors&gt;&lt;/contributors&gt;&lt;auth-address&gt;Howard Hughes Medical Institute and Department of Biochemistry, University of Wisconsin, Madison, WI 53706.&lt;/auth-address&gt;&lt;titles&gt;&lt;title&gt;Discovery of two GLP-1/Notch target genes that account for the role of GLP-1/Notch signaling in stem cell maintenance&lt;/title&gt;&lt;secondary-title&gt;Proc Natl Acad Sci U S A&lt;/secondary-title&gt;&lt;/titles&gt;&lt;periodical&gt;&lt;full-title&gt;Proc Natl Acad Sci U S A&lt;/full-title&gt;&lt;/periodical&gt;&lt;pages&gt;3739-44&lt;/pages&gt;&lt;volume&gt;111&lt;/volume&gt;&lt;number&gt;10&lt;/number&gt;&lt;keywords&gt;&lt;keyword&gt;Benzimidazoles&lt;/keyword&gt;&lt;keyword&gt;Caenorhabditis elegans Proteins/genetics/*metabolism&lt;/keyword&gt;&lt;keyword&gt;Gene Expression Regulation/genetics/physiology&lt;/keyword&gt;&lt;keyword&gt;Glucagon-Like Peptide 1/genetics/*metabolism&lt;/keyword&gt;&lt;keyword&gt;Immunohistochemistry&lt;/keyword&gt;&lt;keyword&gt;In Situ Hybridization&lt;/keyword&gt;&lt;keyword&gt;Polysorbates&lt;/keyword&gt;&lt;keyword&gt;RNA Interference&lt;/keyword&gt;&lt;keyword&gt;Receptors, Notch/*metabolism&lt;/keyword&gt;&lt;keyword&gt;Signal Transduction/*physiology&lt;/keyword&gt;&lt;keyword&gt;Stem Cells/*physiology&lt;/keyword&gt;&lt;/keywords&gt;&lt;dates&gt;&lt;year&gt;2014&lt;/year&gt;&lt;pub-dates&gt;&lt;date&gt;Mar 11&lt;/date&gt;&lt;/pub-dates&gt;&lt;/dates&gt;&lt;isbn&gt;1091-6490 (Electronic)&amp;#xD;0027-8424 (Linking)&lt;/isbn&gt;&lt;accession-num&gt;24567412&lt;/accession-num&gt;&lt;urls&gt;&lt;related-urls&gt;&lt;url&gt;http://www.ncbi.nlm.nih.gov/pubmed/24567412&lt;/url&gt;&lt;/related-urls&gt;&lt;/urls&gt;&lt;custom2&gt;PMC3956202&lt;/custom2&gt;&lt;electronic-resource-num&gt;10.1073/pnas.1401861111&lt;/electronic-resource-num&gt;&lt;/record&gt;&lt;/Cite&gt;&lt;/EndNote&gt;</w:instrText>
      </w:r>
      <w:r w:rsidRPr="002F1ED9">
        <w:rPr>
          <w:rFonts w:cs="Arial"/>
        </w:rPr>
        <w:fldChar w:fldCharType="separate"/>
      </w:r>
      <w:r>
        <w:rPr>
          <w:rFonts w:cs="Arial"/>
          <w:noProof/>
        </w:rPr>
        <w:t>(Kershner et al. 2014)</w:t>
      </w:r>
      <w:r w:rsidRPr="002F1ED9">
        <w:rPr>
          <w:rFonts w:cs="Arial"/>
        </w:rPr>
        <w:fldChar w:fldCharType="end"/>
      </w:r>
      <w:r w:rsidRPr="002F1ED9">
        <w:rPr>
          <w:rFonts w:cs="Arial"/>
        </w:rPr>
        <w:t>.</w:t>
      </w:r>
      <w:r>
        <w:rPr>
          <w:rFonts w:cs="Arial"/>
        </w:rPr>
        <w:t xml:space="preserve"> Actin was used as a loading control.</w:t>
      </w:r>
    </w:p>
    <w:p w:rsidR="006D5B2D" w:rsidRPr="00F26EA9" w:rsidRDefault="006D5B2D" w:rsidP="006D5B2D">
      <w:pPr>
        <w:spacing w:line="480" w:lineRule="auto"/>
        <w:rPr>
          <w:rFonts w:cs="Arial"/>
        </w:rPr>
      </w:pPr>
      <w:r>
        <w:rPr>
          <w:rFonts w:cs="Arial"/>
          <w:b/>
        </w:rPr>
        <w:t>F</w:t>
      </w:r>
      <w:r w:rsidRPr="002F1ED9">
        <w:rPr>
          <w:rFonts w:cs="Arial"/>
          <w:b/>
        </w:rPr>
        <w:t xml:space="preserve">igure </w:t>
      </w:r>
      <w:r>
        <w:rPr>
          <w:rFonts w:cs="Arial"/>
          <w:b/>
        </w:rPr>
        <w:t>S</w:t>
      </w:r>
      <w:r w:rsidRPr="002F1ED9">
        <w:rPr>
          <w:rFonts w:cs="Arial"/>
          <w:b/>
        </w:rPr>
        <w:t>3.</w:t>
      </w:r>
      <w:r>
        <w:rPr>
          <w:rFonts w:cs="Arial"/>
          <w:b/>
        </w:rPr>
        <w:t xml:space="preserve"> </w:t>
      </w:r>
      <w:r>
        <w:rPr>
          <w:rFonts w:cs="Arial"/>
          <w:shd w:val="clear" w:color="auto" w:fill="FFFFFF"/>
        </w:rPr>
        <w:t xml:space="preserve">The size of the germline mitotic region and number of actively dividing germline cells in </w:t>
      </w:r>
      <w:r w:rsidRPr="009854FB">
        <w:rPr>
          <w:rFonts w:cs="Arial"/>
          <w:shd w:val="clear" w:color="auto" w:fill="FFFFFF"/>
        </w:rPr>
        <w:t xml:space="preserve">FBF-1 and FBF-2 </w:t>
      </w:r>
      <w:r>
        <w:rPr>
          <w:rFonts w:cs="Arial"/>
          <w:shd w:val="clear" w:color="auto" w:fill="FFFFFF"/>
        </w:rPr>
        <w:t>transgenic worms</w:t>
      </w:r>
      <w:r w:rsidRPr="009854FB">
        <w:rPr>
          <w:rFonts w:cs="Arial"/>
          <w:shd w:val="clear" w:color="auto" w:fill="FFFFFF"/>
        </w:rPr>
        <w:t xml:space="preserve"> </w:t>
      </w:r>
      <w:r>
        <w:rPr>
          <w:rFonts w:cs="Arial"/>
          <w:shd w:val="clear" w:color="auto" w:fill="FFFFFF"/>
        </w:rPr>
        <w:t>was similar to wild-type. The size of the mitotic region was measured in</w:t>
      </w:r>
      <w:r w:rsidRPr="009854FB">
        <w:rPr>
          <w:rFonts w:cs="Arial"/>
          <w:shd w:val="clear" w:color="auto" w:fill="FFFFFF"/>
        </w:rPr>
        <w:t xml:space="preserve"> germ cell diameters</w:t>
      </w:r>
      <w:r>
        <w:rPr>
          <w:rFonts w:cs="Arial"/>
          <w:shd w:val="clear" w:color="auto" w:fill="FFFFFF"/>
        </w:rPr>
        <w:t>. The number of actively dividing cells was assayed as the</w:t>
      </w:r>
      <w:r w:rsidRPr="009854FB">
        <w:rPr>
          <w:rFonts w:cs="Arial"/>
          <w:shd w:val="clear" w:color="auto" w:fill="FFFFFF"/>
        </w:rPr>
        <w:t xml:space="preserve"> number of </w:t>
      </w:r>
      <w:r>
        <w:rPr>
          <w:rFonts w:ascii="Calibri" w:hAnsi="Calibri" w:cs="Arial"/>
          <w:shd w:val="clear" w:color="auto" w:fill="FFFFFF"/>
        </w:rPr>
        <w:t>α</w:t>
      </w:r>
      <w:r w:rsidRPr="009854FB">
        <w:rPr>
          <w:rFonts w:cs="Arial"/>
          <w:shd w:val="clear" w:color="auto" w:fill="FFFFFF"/>
        </w:rPr>
        <w:t>-P</w:t>
      </w:r>
      <w:r>
        <w:rPr>
          <w:rFonts w:cs="Arial"/>
          <w:shd w:val="clear" w:color="auto" w:fill="FFFFFF"/>
        </w:rPr>
        <w:t>H3 (phosphorylated histone H3)-</w:t>
      </w:r>
      <w:r w:rsidRPr="009854FB">
        <w:rPr>
          <w:rFonts w:cs="Arial"/>
          <w:shd w:val="clear" w:color="auto" w:fill="FFFFFF"/>
        </w:rPr>
        <w:t>positive nuclei.</w:t>
      </w:r>
    </w:p>
    <w:p w:rsidR="006D5B2D" w:rsidRDefault="006D5B2D" w:rsidP="006D5B2D">
      <w:pPr>
        <w:spacing w:line="480" w:lineRule="auto"/>
        <w:rPr>
          <w:rFonts w:cs="Arial"/>
        </w:rPr>
      </w:pPr>
      <w:r>
        <w:rPr>
          <w:rFonts w:cs="Arial"/>
          <w:b/>
        </w:rPr>
        <w:t>F</w:t>
      </w:r>
      <w:r w:rsidRPr="002F1ED9">
        <w:rPr>
          <w:rFonts w:cs="Arial"/>
          <w:b/>
        </w:rPr>
        <w:t xml:space="preserve">igure </w:t>
      </w:r>
      <w:r>
        <w:rPr>
          <w:rFonts w:cs="Arial"/>
          <w:b/>
        </w:rPr>
        <w:t>S4</w:t>
      </w:r>
      <w:r w:rsidRPr="002F1ED9">
        <w:rPr>
          <w:rFonts w:cs="Arial"/>
          <w:b/>
        </w:rPr>
        <w:t xml:space="preserve">. </w:t>
      </w:r>
      <w:r w:rsidRPr="002F1ED9">
        <w:rPr>
          <w:rFonts w:cs="Arial"/>
        </w:rPr>
        <w:t>IP-mass spectrometry peptide identifications at FDR ≤ 1% for two pooled, UV cross-linked biological replicates of tagged FBF-1 and FBF-2. Asterisk</w:t>
      </w:r>
      <w:r>
        <w:rPr>
          <w:rFonts w:cs="Arial"/>
        </w:rPr>
        <w:t>s</w:t>
      </w:r>
      <w:r w:rsidRPr="002F1ED9">
        <w:rPr>
          <w:rFonts w:cs="Arial"/>
        </w:rPr>
        <w:t xml:space="preserve"> indicate peptides that could be from either FBF-1 or FBF-2, given </w:t>
      </w:r>
      <w:r>
        <w:rPr>
          <w:rFonts w:cs="Arial"/>
        </w:rPr>
        <w:t>that their amino acid sequences are</w:t>
      </w:r>
      <w:r w:rsidRPr="002F1ED9">
        <w:rPr>
          <w:rFonts w:cs="Arial"/>
        </w:rPr>
        <w:t xml:space="preserve"> 91% identical. Two pooled N2 biological replicates were processed in parallel as negative controls for each FBF. No FBF peptides we</w:t>
      </w:r>
      <w:r>
        <w:rPr>
          <w:rFonts w:cs="Arial"/>
        </w:rPr>
        <w:t>re detected in control samples.</w:t>
      </w:r>
    </w:p>
    <w:p w:rsidR="006D5B2D" w:rsidRPr="002F1ED9" w:rsidRDefault="006D5B2D" w:rsidP="006D5B2D">
      <w:pPr>
        <w:spacing w:line="480" w:lineRule="auto"/>
        <w:rPr>
          <w:rFonts w:cs="Arial"/>
        </w:rPr>
      </w:pPr>
      <w:r>
        <w:rPr>
          <w:rFonts w:cs="Arial"/>
          <w:b/>
        </w:rPr>
        <w:t>F</w:t>
      </w:r>
      <w:r w:rsidRPr="002F1ED9">
        <w:rPr>
          <w:rFonts w:cs="Arial"/>
          <w:b/>
        </w:rPr>
        <w:t xml:space="preserve">igure </w:t>
      </w:r>
      <w:r>
        <w:rPr>
          <w:rFonts w:cs="Arial"/>
          <w:b/>
        </w:rPr>
        <w:t>S5</w:t>
      </w:r>
      <w:r w:rsidRPr="002F1ED9">
        <w:rPr>
          <w:rFonts w:cs="Arial"/>
          <w:b/>
        </w:rPr>
        <w:t xml:space="preserve">. </w:t>
      </w:r>
      <w:r w:rsidRPr="002F1ED9">
        <w:rPr>
          <w:rFonts w:cs="Arial"/>
        </w:rPr>
        <w:t xml:space="preserve">Representative autoradiograph of immunopurified and </w:t>
      </w:r>
      <w:r w:rsidRPr="002F1ED9">
        <w:rPr>
          <w:rFonts w:cs="Arial"/>
          <w:vertAlign w:val="superscript"/>
        </w:rPr>
        <w:t>32</w:t>
      </w:r>
      <w:r>
        <w:rPr>
          <w:rFonts w:cs="Arial"/>
        </w:rPr>
        <w:t>P-labeled protein:</w:t>
      </w:r>
      <w:r w:rsidRPr="002F1ED9">
        <w:rPr>
          <w:rFonts w:cs="Arial"/>
        </w:rPr>
        <w:t>RNA complexes transferred to nitrocellulose membrane and exposed for 5 hours on film</w:t>
      </w:r>
      <w:r>
        <w:rPr>
          <w:rFonts w:cs="Arial"/>
        </w:rPr>
        <w:t>.</w:t>
      </w:r>
      <w:r w:rsidRPr="002F1ED9">
        <w:rPr>
          <w:rFonts w:cs="Arial"/>
        </w:rPr>
        <w:t xml:space="preserve"> Lysates were treated with an RNase I concentration of 1/250 resulting in a smear of radioactive signal from protein-RNA complexes of various sizes. The asterisk marks a band corresponding to highly digested complexes near the expected molecular weight mark of 76 kDa. Red markings indicate the approximate region of the membrane that was excised and processed for iCLIP i</w:t>
      </w:r>
      <w:r>
        <w:rPr>
          <w:rFonts w:cs="Arial"/>
        </w:rPr>
        <w:t>n both experiment and control. Radioactive signal required UV crosslinking (compare middle and right lanes).</w:t>
      </w:r>
    </w:p>
    <w:p w:rsidR="006D5B2D" w:rsidRPr="002F1ED9" w:rsidRDefault="006D5B2D" w:rsidP="006D5B2D">
      <w:pPr>
        <w:spacing w:line="480" w:lineRule="auto"/>
        <w:rPr>
          <w:rFonts w:cs="Arial"/>
        </w:rPr>
      </w:pPr>
      <w:r>
        <w:rPr>
          <w:rFonts w:cs="Arial"/>
          <w:b/>
        </w:rPr>
        <w:t>F</w:t>
      </w:r>
      <w:r w:rsidRPr="002F1ED9">
        <w:rPr>
          <w:rFonts w:cs="Arial"/>
          <w:b/>
        </w:rPr>
        <w:t xml:space="preserve">igure </w:t>
      </w:r>
      <w:r>
        <w:rPr>
          <w:rFonts w:cs="Arial"/>
          <w:b/>
        </w:rPr>
        <w:t xml:space="preserve">S6. </w:t>
      </w:r>
      <w:r w:rsidRPr="002F1ED9">
        <w:rPr>
          <w:rFonts w:cs="Arial"/>
        </w:rPr>
        <w:t>Table of total and unique (</w:t>
      </w:r>
      <w:r>
        <w:rPr>
          <w:rFonts w:cs="Arial"/>
        </w:rPr>
        <w:t>with</w:t>
      </w:r>
      <w:r w:rsidRPr="002F1ED9">
        <w:rPr>
          <w:rFonts w:cs="Arial"/>
        </w:rPr>
        <w:t xml:space="preserve"> MAPQ</w:t>
      </w:r>
      <w:r>
        <w:rPr>
          <w:rFonts w:cs="Arial"/>
        </w:rPr>
        <w:t xml:space="preserve"> quality score</w:t>
      </w:r>
      <w:r w:rsidRPr="002F1ED9">
        <w:rPr>
          <w:rFonts w:cs="Arial"/>
        </w:rPr>
        <w:t xml:space="preserve"> &gt; 20) high-throughput sequencing reads mapped to </w:t>
      </w:r>
      <w:r w:rsidRPr="002F1ED9">
        <w:rPr>
          <w:rFonts w:cs="Arial"/>
          <w:i/>
        </w:rPr>
        <w:t xml:space="preserve">C. elegans </w:t>
      </w:r>
      <w:r w:rsidRPr="002F1ED9">
        <w:rPr>
          <w:rFonts w:cs="Arial"/>
        </w:rPr>
        <w:t>genome release WS235</w:t>
      </w:r>
      <w:r>
        <w:rPr>
          <w:rFonts w:cs="Arial"/>
        </w:rPr>
        <w:t>.</w:t>
      </w:r>
      <w:r w:rsidRPr="002F1ED9">
        <w:rPr>
          <w:rFonts w:cs="Arial"/>
        </w:rPr>
        <w:t xml:space="preserve"> </w:t>
      </w:r>
      <w:r>
        <w:rPr>
          <w:rFonts w:cs="Arial"/>
        </w:rPr>
        <w:t>We performed t</w:t>
      </w:r>
      <w:r w:rsidRPr="002F1ED9">
        <w:rPr>
          <w:rFonts w:cs="Arial"/>
        </w:rPr>
        <w:t xml:space="preserve">hree biological replicates each of FBF-1, FBF-2, and </w:t>
      </w:r>
      <w:r>
        <w:rPr>
          <w:rFonts w:cs="Arial"/>
        </w:rPr>
        <w:t xml:space="preserve">wild-type N2 </w:t>
      </w:r>
      <w:r w:rsidRPr="002F1ED9">
        <w:rPr>
          <w:rFonts w:cs="Arial"/>
        </w:rPr>
        <w:t>negative controls. Percentages shown in parentheses are the p</w:t>
      </w:r>
      <w:r>
        <w:rPr>
          <w:rFonts w:cs="Arial"/>
        </w:rPr>
        <w:t>ercent of total reads.</w:t>
      </w:r>
    </w:p>
    <w:p w:rsidR="006D5B2D" w:rsidRDefault="006D5B2D" w:rsidP="006D5B2D">
      <w:pPr>
        <w:spacing w:line="480" w:lineRule="auto"/>
        <w:rPr>
          <w:rFonts w:cs="Arial"/>
        </w:rPr>
      </w:pPr>
      <w:r>
        <w:rPr>
          <w:rFonts w:cs="Arial"/>
          <w:b/>
        </w:rPr>
        <w:t xml:space="preserve">Figure S7. </w:t>
      </w:r>
      <w:r w:rsidRPr="002F1ED9">
        <w:rPr>
          <w:rFonts w:cs="Arial"/>
        </w:rPr>
        <w:t>Validated targets of FBF-1 and/or FBF-2 supported by multiple lines of evidence</w:t>
      </w:r>
      <w:r>
        <w:rPr>
          <w:rFonts w:cs="Arial"/>
        </w:rPr>
        <w:t>. Evidence is</w:t>
      </w:r>
      <w:r w:rsidRPr="002F1ED9">
        <w:rPr>
          <w:rFonts w:cs="Arial"/>
        </w:rPr>
        <w:t xml:space="preserve"> document</w:t>
      </w:r>
      <w:r>
        <w:rPr>
          <w:rFonts w:cs="Arial"/>
        </w:rPr>
        <w:t>ed in the associated reference.</w:t>
      </w:r>
    </w:p>
    <w:p w:rsidR="006D5B2D" w:rsidRPr="00642D50" w:rsidRDefault="006D5B2D" w:rsidP="006D5B2D">
      <w:pPr>
        <w:spacing w:line="480" w:lineRule="auto"/>
        <w:rPr>
          <w:shd w:val="clear" w:color="auto" w:fill="FFFFFF"/>
        </w:rPr>
      </w:pPr>
      <w:r>
        <w:rPr>
          <w:b/>
          <w:shd w:val="clear" w:color="auto" w:fill="FFFFFF"/>
        </w:rPr>
        <w:t>Figure S8</w:t>
      </w:r>
      <w:r w:rsidRPr="002821B3">
        <w:rPr>
          <w:b/>
          <w:shd w:val="clear" w:color="auto" w:fill="FFFFFF"/>
        </w:rPr>
        <w:t>.</w:t>
      </w:r>
      <w:r w:rsidRPr="002821B3">
        <w:rPr>
          <w:shd w:val="clear" w:color="auto" w:fill="FFFFFF"/>
        </w:rPr>
        <w:t xml:space="preserve"> </w:t>
      </w:r>
      <w:r>
        <w:rPr>
          <w:b/>
          <w:shd w:val="clear" w:color="auto" w:fill="FFFFFF"/>
        </w:rPr>
        <w:t xml:space="preserve">A. </w:t>
      </w:r>
      <w:r w:rsidRPr="002821B3">
        <w:rPr>
          <w:shd w:val="clear" w:color="auto" w:fill="FFFFFF"/>
        </w:rPr>
        <w:t>Variations in the FBE are enriched at different levels. Only joint FBF-1 and FBF-2 peaks (5/6 replicates) were included in this analysis. Peak regions were defined as a 70 nt region around the highest po</w:t>
      </w:r>
      <w:r>
        <w:rPr>
          <w:shd w:val="clear" w:color="auto" w:fill="FFFFFF"/>
        </w:rPr>
        <w:t>int of coverage</w:t>
      </w:r>
      <w:r w:rsidRPr="002821B3">
        <w:rPr>
          <w:shd w:val="clear" w:color="auto" w:fill="FFFFFF"/>
        </w:rPr>
        <w:t xml:space="preserve">. Background for a given peak was defined as the average of 1000 random permutations of the 70 nt sequence. Enrichment </w:t>
      </w:r>
      <w:r>
        <w:rPr>
          <w:shd w:val="clear" w:color="auto" w:fill="FFFFFF"/>
        </w:rPr>
        <w:t xml:space="preserve">over the randomized sequences was </w:t>
      </w:r>
      <w:r w:rsidRPr="002821B3">
        <w:rPr>
          <w:shd w:val="clear" w:color="auto" w:fill="FFFFFF"/>
        </w:rPr>
        <w:t>calculate</w:t>
      </w:r>
      <w:r>
        <w:rPr>
          <w:shd w:val="clear" w:color="auto" w:fill="FFFFFF"/>
        </w:rPr>
        <w:t xml:space="preserve">d for each mutation in the FBE. </w:t>
      </w:r>
      <w:r w:rsidRPr="002821B3">
        <w:rPr>
          <w:shd w:val="clear" w:color="auto" w:fill="FFFFFF"/>
        </w:rPr>
        <w:t>Unlike previous</w:t>
      </w:r>
      <w:r>
        <w:rPr>
          <w:shd w:val="clear" w:color="auto" w:fill="FFFFFF"/>
        </w:rPr>
        <w:t xml:space="preserve"> </w:t>
      </w:r>
      <w:r w:rsidRPr="002821B3">
        <w:rPr>
          <w:i/>
          <w:iCs/>
          <w:shd w:val="clear" w:color="auto" w:fill="FFFFFF"/>
        </w:rPr>
        <w:t>in vitro</w:t>
      </w:r>
      <w:r>
        <w:rPr>
          <w:i/>
          <w:iCs/>
          <w:shd w:val="clear" w:color="auto" w:fill="FFFFFF"/>
        </w:rPr>
        <w:t xml:space="preserve"> </w:t>
      </w:r>
      <w:r w:rsidRPr="002821B3">
        <w:rPr>
          <w:shd w:val="clear" w:color="auto" w:fill="FFFFFF"/>
        </w:rPr>
        <w:t>studies, we observe a prefe</w:t>
      </w:r>
      <w:r>
        <w:rPr>
          <w:shd w:val="clear" w:color="auto" w:fill="FFFFFF"/>
        </w:rPr>
        <w:t>rence for purine at position 10</w:t>
      </w:r>
      <w:r w:rsidRPr="002821B3">
        <w:rPr>
          <w:shd w:val="clear" w:color="auto" w:fill="FFFFFF"/>
        </w:rPr>
        <w:t xml:space="preserve"> and find that </w:t>
      </w:r>
      <w:r>
        <w:rPr>
          <w:shd w:val="clear" w:color="auto" w:fill="FFFFFF"/>
        </w:rPr>
        <w:t xml:space="preserve">a </w:t>
      </w:r>
      <w:r w:rsidRPr="002821B3">
        <w:rPr>
          <w:shd w:val="clear" w:color="auto" w:fill="FFFFFF"/>
        </w:rPr>
        <w:t>C at position</w:t>
      </w:r>
      <w:r>
        <w:rPr>
          <w:shd w:val="clear" w:color="auto" w:fill="FFFFFF"/>
        </w:rPr>
        <w:t>s 5 and 6</w:t>
      </w:r>
      <w:r w:rsidRPr="002821B3">
        <w:rPr>
          <w:shd w:val="clear" w:color="auto" w:fill="FFFFFF"/>
        </w:rPr>
        <w:t xml:space="preserve"> </w:t>
      </w:r>
      <w:r>
        <w:rPr>
          <w:shd w:val="clear" w:color="auto" w:fill="FFFFFF"/>
        </w:rPr>
        <w:t>is</w:t>
      </w:r>
      <w:r w:rsidRPr="002821B3">
        <w:rPr>
          <w:shd w:val="clear" w:color="auto" w:fill="FFFFFF"/>
        </w:rPr>
        <w:t xml:space="preserve"> strongly favored</w:t>
      </w:r>
      <w:r>
        <w:rPr>
          <w:shd w:val="clear" w:color="auto" w:fill="FFFFFF"/>
        </w:rPr>
        <w:t xml:space="preserve"> </w:t>
      </w:r>
      <w:r w:rsidRPr="002821B3">
        <w:rPr>
          <w:i/>
          <w:iCs/>
          <w:shd w:val="clear" w:color="auto" w:fill="FFFFFF"/>
        </w:rPr>
        <w:t>in vivo</w:t>
      </w:r>
      <w:r w:rsidRPr="002821B3">
        <w:rPr>
          <w:shd w:val="clear" w:color="auto" w:fill="FFFFFF"/>
        </w:rPr>
        <w:t>.</w:t>
      </w:r>
      <w:r>
        <w:rPr>
          <w:shd w:val="clear" w:color="auto" w:fill="FFFFFF"/>
        </w:rPr>
        <w:t xml:space="preserve"> </w:t>
      </w:r>
      <w:r>
        <w:rPr>
          <w:b/>
          <w:shd w:val="clear" w:color="auto" w:fill="FFFFFF"/>
        </w:rPr>
        <w:t xml:space="preserve">B. </w:t>
      </w:r>
      <w:r>
        <w:rPr>
          <w:shd w:val="clear" w:color="auto" w:fill="FFFFFF"/>
        </w:rPr>
        <w:t xml:space="preserve">Similar analysis as in panel </w:t>
      </w:r>
      <w:r w:rsidRPr="00412AF5">
        <w:rPr>
          <w:b/>
          <w:shd w:val="clear" w:color="auto" w:fill="FFFFFF"/>
        </w:rPr>
        <w:t>A</w:t>
      </w:r>
      <w:r>
        <w:rPr>
          <w:shd w:val="clear" w:color="auto" w:fill="FFFFFF"/>
        </w:rPr>
        <w:t xml:space="preserve"> for the 7-mer enriched in peaks without a canonical FBE.</w:t>
      </w:r>
    </w:p>
    <w:p w:rsidR="006D5B2D" w:rsidRPr="00FA0784" w:rsidRDefault="006D5B2D" w:rsidP="006D5B2D">
      <w:pPr>
        <w:spacing w:line="480" w:lineRule="auto"/>
        <w:rPr>
          <w:shd w:val="clear" w:color="auto" w:fill="FFFFFF"/>
        </w:rPr>
      </w:pPr>
      <w:r>
        <w:rPr>
          <w:b/>
        </w:rPr>
        <w:t xml:space="preserve">Figure S9. A and B. </w:t>
      </w:r>
      <w:r w:rsidRPr="002F1ED9">
        <w:t>Heat map</w:t>
      </w:r>
      <w:r>
        <w:t>s of peak signal (</w:t>
      </w:r>
      <w:r w:rsidRPr="00412AF5">
        <w:rPr>
          <w:b/>
        </w:rPr>
        <w:t>A</w:t>
      </w:r>
      <w:r w:rsidRPr="002F1ED9">
        <w:t xml:space="preserve">) and </w:t>
      </w:r>
      <w:r>
        <w:t xml:space="preserve">the canonical </w:t>
      </w:r>
      <w:r w:rsidRPr="002F1ED9">
        <w:t>FBE</w:t>
      </w:r>
      <w:r>
        <w:t xml:space="preserve"> sequence</w:t>
      </w:r>
      <w:r w:rsidRPr="002F1ED9">
        <w:t xml:space="preserve"> </w:t>
      </w:r>
      <w:r>
        <w:t>(</w:t>
      </w:r>
      <w:r w:rsidRPr="00412AF5">
        <w:rPr>
          <w:b/>
        </w:rPr>
        <w:t>B</w:t>
      </w:r>
      <w:r w:rsidRPr="002F1ED9">
        <w:t>)</w:t>
      </w:r>
      <w:r>
        <w:t xml:space="preserve"> in the mature transcripts of target mRNAs</w:t>
      </w:r>
      <w:r w:rsidRPr="002F1ED9">
        <w:t xml:space="preserve">. </w:t>
      </w:r>
      <w:r>
        <w:t>As in Figure 7E, for all peaks</w:t>
      </w:r>
      <w:r w:rsidRPr="002F1ED9">
        <w:t xml:space="preserve"> FBF binding is b</w:t>
      </w:r>
      <w:r>
        <w:t xml:space="preserve">iased toward the 3’-most end. </w:t>
      </w:r>
      <w:r>
        <w:rPr>
          <w:b/>
        </w:rPr>
        <w:t xml:space="preserve">C. </w:t>
      </w:r>
      <w:r>
        <w:t>Plots of 3’ proximity of FBEs and average iCLIP coverage relative to the end of 3’UTRs in FBF target mRNAs.</w:t>
      </w:r>
    </w:p>
    <w:p w:rsidR="006D5B2D" w:rsidRDefault="006D5B2D" w:rsidP="006D5B2D">
      <w:pPr>
        <w:spacing w:line="480" w:lineRule="auto"/>
        <w:rPr>
          <w:rFonts w:cs="Arial"/>
        </w:rPr>
      </w:pPr>
      <w:r>
        <w:rPr>
          <w:rFonts w:cs="Arial"/>
          <w:b/>
        </w:rPr>
        <w:t>Figure S10</w:t>
      </w:r>
      <w:r w:rsidRPr="002F1ED9">
        <w:rPr>
          <w:rFonts w:cs="Arial"/>
          <w:b/>
        </w:rPr>
        <w:t xml:space="preserve">. </w:t>
      </w:r>
      <w:r>
        <w:rPr>
          <w:rFonts w:cs="Arial"/>
        </w:rPr>
        <w:t>Representative s</w:t>
      </w:r>
      <w:r w:rsidRPr="002F1ED9">
        <w:rPr>
          <w:rFonts w:cs="Arial"/>
        </w:rPr>
        <w:t>napshots of FBF binding in the 5’UTR of select targets, with distance to the start codon indicated.</w:t>
      </w:r>
      <w:r>
        <w:rPr>
          <w:rFonts w:cs="Arial"/>
        </w:rPr>
        <w:t xml:space="preserve"> The y-axis denotes total coverage depth from FBF-1 and FBF-2.</w:t>
      </w:r>
    </w:p>
    <w:p w:rsidR="006D5B2D" w:rsidRDefault="006D5B2D" w:rsidP="006D5B2D">
      <w:pPr>
        <w:spacing w:line="480" w:lineRule="auto"/>
      </w:pPr>
      <w:r>
        <w:rPr>
          <w:rFonts w:cs="Arial"/>
          <w:b/>
        </w:rPr>
        <w:t xml:space="preserve">Figure S11. </w:t>
      </w:r>
      <w:r>
        <w:rPr>
          <w:rFonts w:cs="Arial"/>
        </w:rPr>
        <w:t>Heat map aligned on the p</w:t>
      </w:r>
      <w:r>
        <w:t>rimary</w:t>
      </w:r>
      <w:r w:rsidRPr="00763A0B">
        <w:t xml:space="preserve"> peak</w:t>
      </w:r>
      <w:r>
        <w:t xml:space="preserve"> for each FBF target indicates a characteristic shape for primary peaks: a sharp, nearly symmetrical region roughly 40 nucleotides wide.</w:t>
      </w:r>
    </w:p>
    <w:p w:rsidR="006D5B2D" w:rsidRDefault="006D5B2D" w:rsidP="006D5B2D">
      <w:pPr>
        <w:spacing w:line="480" w:lineRule="auto"/>
        <w:rPr>
          <w:rFonts w:cs="Arial"/>
          <w:b/>
        </w:rPr>
      </w:pPr>
      <w:r>
        <w:rPr>
          <w:rFonts w:cs="Arial"/>
          <w:b/>
        </w:rPr>
        <w:t>Figure S12</w:t>
      </w:r>
      <w:r w:rsidRPr="002F1ED9">
        <w:rPr>
          <w:rFonts w:cs="Arial"/>
          <w:b/>
        </w:rPr>
        <w:t xml:space="preserve">. </w:t>
      </w:r>
      <w:r w:rsidRPr="002F1ED9">
        <w:rPr>
          <w:rFonts w:cs="Arial"/>
        </w:rPr>
        <w:t xml:space="preserve">Top 10 enriched Gene Ontology </w:t>
      </w:r>
      <w:r>
        <w:rPr>
          <w:rFonts w:cs="Arial"/>
        </w:rPr>
        <w:t>terms for the categories of (</w:t>
      </w:r>
      <w:r>
        <w:rPr>
          <w:rFonts w:cs="Arial"/>
          <w:b/>
        </w:rPr>
        <w:t>A</w:t>
      </w:r>
      <w:r w:rsidRPr="00412AF5">
        <w:rPr>
          <w:rFonts w:cs="Arial"/>
        </w:rPr>
        <w:t>)</w:t>
      </w:r>
      <w:r>
        <w:rPr>
          <w:rFonts w:cs="Arial"/>
          <w:b/>
        </w:rPr>
        <w:t xml:space="preserve"> </w:t>
      </w:r>
      <w:r w:rsidRPr="002F1ED9">
        <w:rPr>
          <w:rFonts w:cs="Arial"/>
        </w:rPr>
        <w:t>Biological Process</w:t>
      </w:r>
      <w:r>
        <w:rPr>
          <w:rFonts w:cs="Arial"/>
        </w:rPr>
        <w:t>, (</w:t>
      </w:r>
      <w:r>
        <w:rPr>
          <w:rFonts w:cs="Arial"/>
          <w:b/>
        </w:rPr>
        <w:t>B</w:t>
      </w:r>
      <w:r>
        <w:rPr>
          <w:rFonts w:cs="Arial"/>
        </w:rPr>
        <w:t>)</w:t>
      </w:r>
      <w:r>
        <w:rPr>
          <w:rFonts w:cs="Arial"/>
          <w:b/>
        </w:rPr>
        <w:t xml:space="preserve"> </w:t>
      </w:r>
      <w:r>
        <w:rPr>
          <w:rFonts w:cs="Arial"/>
        </w:rPr>
        <w:t>Cell Component, and (</w:t>
      </w:r>
      <w:r>
        <w:rPr>
          <w:rFonts w:cs="Arial"/>
          <w:b/>
        </w:rPr>
        <w:t>C</w:t>
      </w:r>
      <w:r>
        <w:rPr>
          <w:rFonts w:cs="Arial"/>
        </w:rPr>
        <w:t>)</w:t>
      </w:r>
      <w:r>
        <w:rPr>
          <w:rFonts w:cs="Arial"/>
          <w:b/>
        </w:rPr>
        <w:t xml:space="preserve"> </w:t>
      </w:r>
      <w:r>
        <w:rPr>
          <w:rFonts w:cs="Arial"/>
        </w:rPr>
        <w:t>Molecular Function by DAVID analysis.</w:t>
      </w:r>
    </w:p>
    <w:p w:rsidR="006D5B2D" w:rsidRPr="002821B3" w:rsidRDefault="006D5B2D" w:rsidP="006D5B2D">
      <w:pPr>
        <w:pStyle w:val="NoSpacing"/>
        <w:spacing w:line="480" w:lineRule="auto"/>
        <w:rPr>
          <w:rFonts w:cs="Arial"/>
        </w:rPr>
      </w:pPr>
    </w:p>
    <w:p w:rsidR="008420E3" w:rsidRDefault="008420E3"/>
    <w:sectPr w:rsidR="008420E3" w:rsidSect="006F0496">
      <w:footerReference w:type="even"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496" w:rsidRDefault="006D5B2D" w:rsidP="00B346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F0496" w:rsidRDefault="006D5B2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496" w:rsidRDefault="006D5B2D" w:rsidP="00B346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F0496" w:rsidRDefault="006D5B2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B2D"/>
    <w:rsid w:val="0027073C"/>
    <w:rsid w:val="006D5B2D"/>
    <w:rsid w:val="008420E3"/>
    <w:rsid w:val="00B55501"/>
    <w:rsid w:val="00C14746"/>
    <w:rsid w:val="00C4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D5B2D"/>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6D5B2D"/>
    <w:pPr>
      <w:tabs>
        <w:tab w:val="center" w:pos="4320"/>
        <w:tab w:val="right" w:pos="8640"/>
      </w:tabs>
    </w:pPr>
    <w:rPr>
      <w:rFonts w:asciiTheme="minorHAnsi" w:eastAsiaTheme="minorHAnsi" w:hAnsiTheme="minorHAnsi" w:cstheme="minorBidi"/>
      <w:color w:val="auto"/>
      <w:kern w:val="0"/>
      <w:sz w:val="22"/>
      <w:szCs w:val="22"/>
    </w:rPr>
  </w:style>
  <w:style w:type="character" w:customStyle="1" w:styleId="FooterChar">
    <w:name w:val="Footer Char"/>
    <w:basedOn w:val="DefaultParagraphFont"/>
    <w:link w:val="Footer"/>
    <w:uiPriority w:val="99"/>
    <w:rsid w:val="006D5B2D"/>
    <w:rPr>
      <w:rFonts w:asciiTheme="minorHAnsi" w:eastAsiaTheme="minorHAnsi" w:hAnsiTheme="minorHAnsi" w:cstheme="minorBidi"/>
      <w:sz w:val="22"/>
      <w:szCs w:val="22"/>
      <w:lang w:eastAsia="en-US"/>
    </w:rPr>
  </w:style>
  <w:style w:type="character" w:styleId="PageNumber">
    <w:name w:val="page number"/>
    <w:basedOn w:val="DefaultParagraphFont"/>
    <w:uiPriority w:val="99"/>
    <w:semiHidden/>
    <w:unhideWhenUsed/>
    <w:rsid w:val="006D5B2D"/>
  </w:style>
  <w:style w:type="character" w:customStyle="1" w:styleId="NoSpacingChar">
    <w:name w:val="No Spacing Char"/>
    <w:basedOn w:val="DefaultParagraphFont"/>
    <w:link w:val="NoSpacing"/>
    <w:uiPriority w:val="1"/>
    <w:rsid w:val="006D5B2D"/>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D5B2D"/>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6D5B2D"/>
    <w:pPr>
      <w:tabs>
        <w:tab w:val="center" w:pos="4320"/>
        <w:tab w:val="right" w:pos="8640"/>
      </w:tabs>
    </w:pPr>
    <w:rPr>
      <w:rFonts w:asciiTheme="minorHAnsi" w:eastAsiaTheme="minorHAnsi" w:hAnsiTheme="minorHAnsi" w:cstheme="minorBidi"/>
      <w:color w:val="auto"/>
      <w:kern w:val="0"/>
      <w:sz w:val="22"/>
      <w:szCs w:val="22"/>
    </w:rPr>
  </w:style>
  <w:style w:type="character" w:customStyle="1" w:styleId="FooterChar">
    <w:name w:val="Footer Char"/>
    <w:basedOn w:val="DefaultParagraphFont"/>
    <w:link w:val="Footer"/>
    <w:uiPriority w:val="99"/>
    <w:rsid w:val="006D5B2D"/>
    <w:rPr>
      <w:rFonts w:asciiTheme="minorHAnsi" w:eastAsiaTheme="minorHAnsi" w:hAnsiTheme="minorHAnsi" w:cstheme="minorBidi"/>
      <w:sz w:val="22"/>
      <w:szCs w:val="22"/>
      <w:lang w:eastAsia="en-US"/>
    </w:rPr>
  </w:style>
  <w:style w:type="character" w:styleId="PageNumber">
    <w:name w:val="page number"/>
    <w:basedOn w:val="DefaultParagraphFont"/>
    <w:uiPriority w:val="99"/>
    <w:semiHidden/>
    <w:unhideWhenUsed/>
    <w:rsid w:val="006D5B2D"/>
  </w:style>
  <w:style w:type="character" w:customStyle="1" w:styleId="NoSpacingChar">
    <w:name w:val="No Spacing Char"/>
    <w:basedOn w:val="DefaultParagraphFont"/>
    <w:link w:val="NoSpacing"/>
    <w:uiPriority w:val="1"/>
    <w:rsid w:val="006D5B2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1421</Words>
  <Characters>8104</Characters>
  <Application>Microsoft Macintosh Word</Application>
  <DocSecurity>0</DocSecurity>
  <Lines>67</Lines>
  <Paragraphs>19</Paragraphs>
  <ScaleCrop>false</ScaleCrop>
  <Company/>
  <LinksUpToDate>false</LinksUpToDate>
  <CharactersWithSpaces>9506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2016-04-18T19:31:00Z</dcterms:created>
  <dcterms:modified xsi:type="dcterms:W3CDTF">2016-04-18T19:39:00Z</dcterms:modified>
</cp:coreProperties>
</file>