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3B" w:rsidRDefault="00AB693B" w:rsidP="00AB693B">
      <w:pPr>
        <w:spacing w:line="480" w:lineRule="auto"/>
        <w:rPr>
          <w:b/>
        </w:rPr>
      </w:pPr>
      <w:r>
        <w:rPr>
          <w:b/>
        </w:rPr>
        <w:t>SUPP</w:t>
      </w:r>
      <w:r w:rsidRPr="00E91930">
        <w:rPr>
          <w:b/>
          <w:bCs/>
          <w:caps/>
        </w:rPr>
        <w:t xml:space="preserve">lementary </w:t>
      </w:r>
      <w:r>
        <w:rPr>
          <w:b/>
        </w:rPr>
        <w:t xml:space="preserve">INFORMATION </w:t>
      </w:r>
    </w:p>
    <w:p w:rsidR="00AB693B" w:rsidRDefault="00AB693B" w:rsidP="00AB693B">
      <w:pPr>
        <w:spacing w:line="480" w:lineRule="auto"/>
        <w:rPr>
          <w:b/>
        </w:rPr>
      </w:pPr>
      <w:r>
        <w:rPr>
          <w:b/>
        </w:rPr>
        <w:t>S1 Figure.  Splicing efficiency decreases with weak branch point region or shorter polypyrimindine tract.</w:t>
      </w:r>
    </w:p>
    <w:p w:rsidR="00AB693B" w:rsidRPr="00493FB2" w:rsidRDefault="00AB693B" w:rsidP="00AB693B">
      <w:pPr>
        <w:spacing w:line="480" w:lineRule="auto"/>
      </w:pPr>
      <w:r>
        <w:t>Denaturing gel analysis of RNA isolated from splicing reactions incubated with DMSO or the indicated concentration of SSA (</w:t>
      </w:r>
      <w:r w:rsidRPr="0006771A">
        <w:rPr>
          <w:b/>
        </w:rPr>
        <w:t>1</w:t>
      </w:r>
      <w:r>
        <w:t>) or PB (</w:t>
      </w:r>
      <w:r w:rsidRPr="002F42DA">
        <w:rPr>
          <w:b/>
        </w:rPr>
        <w:t>2</w:t>
      </w:r>
      <w:r>
        <w:t xml:space="preserve">).  </w:t>
      </w:r>
      <w:r w:rsidRPr="00CF3ED0">
        <w:t xml:space="preserve">Identities of bands are schematized to the left as (from top to bottom) lariat intermediate, </w:t>
      </w:r>
      <w:r>
        <w:t xml:space="preserve">free lariat, </w:t>
      </w:r>
      <w:r w:rsidRPr="00CF3ED0">
        <w:t>pre-mRNA, mRNA, and 5</w:t>
      </w:r>
      <w:r>
        <w:rPr>
          <w:rFonts w:ascii="Apple Symbols" w:hAnsi="Apple Symbols" w:cs="Apple Symbols"/>
        </w:rPr>
        <w:t xml:space="preserve">' </w:t>
      </w:r>
      <w:r w:rsidRPr="00CF3ED0">
        <w:t>exon intermediate.</w:t>
      </w:r>
      <w:r>
        <w:t xml:space="preserve">  The branch point A is underlined.  (A) and (B) Pre-mRNA substrates have different branch point regions and 28 nt polypyrimidine tract.  (C) Pre-mRNA substrates with a consensus branch point region and varying polypyrimidine tract length.</w:t>
      </w:r>
    </w:p>
    <w:p w:rsidR="00AB693B" w:rsidRDefault="00AB693B" w:rsidP="00AB693B">
      <w:pPr>
        <w:spacing w:line="480" w:lineRule="auto"/>
        <w:rPr>
          <w:b/>
        </w:rPr>
      </w:pPr>
      <w:r w:rsidRPr="00A976A7">
        <w:rPr>
          <w:b/>
        </w:rPr>
        <w:t>S</w:t>
      </w:r>
      <w:r>
        <w:rPr>
          <w:b/>
        </w:rPr>
        <w:t>2</w:t>
      </w:r>
      <w:r w:rsidRPr="00A976A7">
        <w:rPr>
          <w:b/>
        </w:rPr>
        <w:t xml:space="preserve"> Figure</w:t>
      </w:r>
      <w:r>
        <w:rPr>
          <w:b/>
        </w:rPr>
        <w:t>.  Splicing and rescue in snRNA-depleted nuclear extracts.</w:t>
      </w:r>
    </w:p>
    <w:p w:rsidR="00AB693B" w:rsidRDefault="00AB693B" w:rsidP="00AB693B">
      <w:pPr>
        <w:spacing w:line="480" w:lineRule="auto"/>
      </w:pPr>
      <w:r>
        <w:t>(A) Denaturing gel analysis of RNA isolated from 10 µl of nuclear extract (NE), stained for total RNA with SYBR Gold</w:t>
      </w:r>
      <w:r w:rsidRPr="002931B2">
        <w:rPr>
          <w:vertAlign w:val="superscript"/>
        </w:rPr>
        <w:t xml:space="preserve"> TM</w:t>
      </w:r>
      <w:r>
        <w:t>.  Lane 1: untreated NE; lane 2: mock-treaded NE; lane 3: U4/U6 snRNA-depleted NE; lane 4: U2 snRNA-depleted NE.  (</w:t>
      </w:r>
      <w:r w:rsidRPr="000C352A">
        <w:t>B</w:t>
      </w:r>
      <w:r>
        <w:t>) and (</w:t>
      </w:r>
      <w:r w:rsidRPr="000C352A">
        <w:t>C</w:t>
      </w:r>
      <w:r>
        <w:t xml:space="preserve">) Denaturing gel analysis of the same splicing reactions shown in </w:t>
      </w:r>
      <w:r w:rsidRPr="00F84424">
        <w:t>Figure 4</w:t>
      </w:r>
      <w:r>
        <w:t xml:space="preserve">D.  </w:t>
      </w:r>
    </w:p>
    <w:p w:rsidR="00AB693B" w:rsidRDefault="00AB693B" w:rsidP="00AB693B">
      <w:pPr>
        <w:spacing w:line="480" w:lineRule="auto"/>
        <w:rPr>
          <w:b/>
        </w:rPr>
      </w:pPr>
      <w:r w:rsidRPr="00A976A7">
        <w:rPr>
          <w:b/>
        </w:rPr>
        <w:t>S</w:t>
      </w:r>
      <w:r>
        <w:rPr>
          <w:b/>
        </w:rPr>
        <w:t>3</w:t>
      </w:r>
      <w:r w:rsidRPr="00A976A7">
        <w:rPr>
          <w:b/>
        </w:rPr>
        <w:t xml:space="preserve"> Figure</w:t>
      </w:r>
      <w:r>
        <w:rPr>
          <w:b/>
        </w:rPr>
        <w:t>.  Bimolecular assay shows that SSA</w:t>
      </w:r>
      <w:r w:rsidRPr="00504AA0">
        <w:rPr>
          <w:b/>
        </w:rPr>
        <w:t xml:space="preserve"> inhibits exon ligation.</w:t>
      </w:r>
    </w:p>
    <w:p w:rsidR="00AB693B" w:rsidRPr="00BB355C" w:rsidRDefault="00AB693B" w:rsidP="00AB693B">
      <w:pPr>
        <w:spacing w:line="480" w:lineRule="auto"/>
      </w:pPr>
      <w:r w:rsidRPr="007D7654">
        <w:t xml:space="preserve">Denaturing gel analysis of </w:t>
      </w:r>
      <w:r w:rsidRPr="007D7654">
        <w:rPr>
          <w:i/>
        </w:rPr>
        <w:t>in vitro</w:t>
      </w:r>
      <w:r w:rsidRPr="007D7654">
        <w:t xml:space="preserve"> bimolecular exon ligation reactions. </w:t>
      </w:r>
      <w:r>
        <w:t xml:space="preserve"> </w:t>
      </w:r>
      <w:r w:rsidRPr="003571FD">
        <w:t xml:space="preserve">Identities of bands are schematized to the left as (from top to bottom) </w:t>
      </w:r>
      <w:r>
        <w:t>lariat intermediate</w:t>
      </w:r>
      <w:r w:rsidRPr="007D7654">
        <w:t>, 5</w:t>
      </w:r>
      <w:r>
        <w:t xml:space="preserve">' substrate, mRNA, </w:t>
      </w:r>
      <w:r w:rsidRPr="007D7654">
        <w:t>5</w:t>
      </w:r>
      <w:r>
        <w:t>'</w:t>
      </w:r>
      <w:r w:rsidRPr="007D7654">
        <w:t xml:space="preserve"> exon</w:t>
      </w:r>
      <w:r>
        <w:t xml:space="preserve"> and 3' exon</w:t>
      </w:r>
      <w:r w:rsidRPr="007D7654">
        <w:t>.</w:t>
      </w:r>
      <w:r>
        <w:t xml:space="preserve">  A three-day exposure is shown for the top region of the gel, while the bottom</w:t>
      </w:r>
      <w:r w:rsidRPr="007D7654">
        <w:t xml:space="preserve"> </w:t>
      </w:r>
      <w:r>
        <w:t>region is a one-day exposure.  In lanes 1 and 2 both 5' and 3' substrates are</w:t>
      </w:r>
      <w:r w:rsidRPr="007D7654">
        <w:t xml:space="preserve"> radiolabeled. </w:t>
      </w:r>
      <w:r>
        <w:t xml:space="preserve"> In l</w:t>
      </w:r>
      <w:r w:rsidRPr="007D7654">
        <w:t>anes 3</w:t>
      </w:r>
      <w:r>
        <w:t xml:space="preserve">-17 only the 3' substrate is radiolabeled.  In lanes 4-9 </w:t>
      </w:r>
      <w:r w:rsidRPr="007D7654">
        <w:t xml:space="preserve">increasing concentration of </w:t>
      </w:r>
      <w:r>
        <w:t>SSA</w:t>
      </w:r>
      <w:r w:rsidRPr="007D7654">
        <w:t xml:space="preserve"> </w:t>
      </w:r>
      <w:r>
        <w:t>(</w:t>
      </w:r>
      <w:r>
        <w:rPr>
          <w:b/>
        </w:rPr>
        <w:t>1</w:t>
      </w:r>
      <w:r>
        <w:t xml:space="preserve">) </w:t>
      </w:r>
      <w:r w:rsidRPr="007D7654">
        <w:t>(</w:t>
      </w:r>
      <w:r>
        <w:t>0</w:t>
      </w:r>
      <w:r w:rsidRPr="007D7654">
        <w:t>.1, 1, 2, 5, 10, 100</w:t>
      </w:r>
      <w:r>
        <w:t xml:space="preserve"> </w:t>
      </w:r>
      <w:r w:rsidRPr="007D7654">
        <w:t xml:space="preserve">µM) </w:t>
      </w:r>
      <w:r>
        <w:t>were included with the 3' substrate</w:t>
      </w:r>
      <w:r w:rsidRPr="007D7654">
        <w:t xml:space="preserve">. </w:t>
      </w:r>
      <w:r>
        <w:t xml:space="preserve"> </w:t>
      </w:r>
      <w:r w:rsidRPr="007D7654">
        <w:t>In lanes 10</w:t>
      </w:r>
      <w:r>
        <w:t>-</w:t>
      </w:r>
      <w:r w:rsidRPr="007D7654">
        <w:t>12</w:t>
      </w:r>
      <w:r>
        <w:t>,</w:t>
      </w:r>
      <w:r w:rsidRPr="007D7654">
        <w:t xml:space="preserve"> </w:t>
      </w:r>
      <w:r>
        <w:t>active SSA (</w:t>
      </w:r>
      <w:r w:rsidRPr="00D968D6">
        <w:rPr>
          <w:b/>
        </w:rPr>
        <w:t>1</w:t>
      </w:r>
      <w:r>
        <w:t xml:space="preserve">) was added at 2 µM and </w:t>
      </w:r>
      <w:r w:rsidRPr="007D7654">
        <w:t>increas</w:t>
      </w:r>
      <w:r>
        <w:t>ing concentration of inactive HB (</w:t>
      </w:r>
      <w:r w:rsidRPr="002C47D1">
        <w:rPr>
          <w:b/>
        </w:rPr>
        <w:t>6</w:t>
      </w:r>
      <w:r>
        <w:t xml:space="preserve">) was added at the indicated ratio.  </w:t>
      </w:r>
      <w:r>
        <w:lastRenderedPageBreak/>
        <w:t>In l</w:t>
      </w:r>
      <w:r w:rsidRPr="007D7654">
        <w:t xml:space="preserve">ane 13 </w:t>
      </w:r>
      <w:r>
        <w:t xml:space="preserve">inactive HB is at </w:t>
      </w:r>
      <w:r w:rsidRPr="007D7654">
        <w:t>200</w:t>
      </w:r>
      <w:r>
        <w:t xml:space="preserve"> </w:t>
      </w:r>
      <w:r w:rsidRPr="007D7654">
        <w:t>µM</w:t>
      </w:r>
      <w:r>
        <w:t>.  *represents a spiked in loading control of a full length pre-mRNA.  **is the spliced mRNA product of *.</w:t>
      </w:r>
    </w:p>
    <w:p w:rsidR="00AB693B" w:rsidRDefault="00AB693B" w:rsidP="00AB693B">
      <w:pPr>
        <w:pStyle w:val="NormalWeb"/>
        <w:spacing w:line="480" w:lineRule="auto"/>
      </w:pPr>
    </w:p>
    <w:p w:rsidR="008420E3" w:rsidRDefault="008420E3">
      <w:bookmarkStart w:id="0" w:name="_GoBack"/>
      <w:bookmarkEnd w:id="0"/>
    </w:p>
    <w:sectPr w:rsidR="008420E3" w:rsidSect="00D3641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58" w:rsidRDefault="00AB693B" w:rsidP="00FD3B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7058" w:rsidRDefault="00AB693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58" w:rsidRDefault="00AB693B" w:rsidP="00FD3B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57058" w:rsidRDefault="00AB693B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58" w:rsidRDefault="00AB693B">
    <w:pPr>
      <w:pStyle w:val="Footer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58" w:rsidRDefault="00AB693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58" w:rsidRPr="00552D89" w:rsidRDefault="00AB693B" w:rsidP="00552D89">
    <w:pPr>
      <w:pStyle w:val="Header"/>
      <w:jc w:val="right"/>
      <w:rPr>
        <w:i/>
      </w:rPr>
    </w:pPr>
    <w:r w:rsidRPr="00552D89">
      <w:rPr>
        <w:i/>
      </w:rPr>
      <w:t>Effenberger et al.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58" w:rsidRDefault="00AB69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3B"/>
    <w:rsid w:val="0027073C"/>
    <w:rsid w:val="008420E3"/>
    <w:rsid w:val="00AB693B"/>
    <w:rsid w:val="00B55501"/>
    <w:rsid w:val="00C14746"/>
    <w:rsid w:val="00C46265"/>
    <w:rsid w:val="00F2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C515C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93B"/>
    <w:pPr>
      <w:spacing w:before="100" w:beforeAutospacing="1" w:after="100" w:afterAutospacing="1"/>
    </w:pPr>
    <w:rPr>
      <w:rFonts w:ascii="Times" w:hAnsi="Times"/>
      <w:color w:val="auto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B693B"/>
    <w:pPr>
      <w:tabs>
        <w:tab w:val="center" w:pos="4320"/>
        <w:tab w:val="right" w:pos="8640"/>
      </w:tabs>
    </w:pPr>
    <w:rPr>
      <w:color w:val="auto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AB693B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AB693B"/>
  </w:style>
  <w:style w:type="paragraph" w:styleId="Header">
    <w:name w:val="header"/>
    <w:basedOn w:val="Normal"/>
    <w:link w:val="HeaderChar"/>
    <w:uiPriority w:val="99"/>
    <w:unhideWhenUsed/>
    <w:rsid w:val="00AB693B"/>
    <w:pPr>
      <w:tabs>
        <w:tab w:val="center" w:pos="4320"/>
        <w:tab w:val="right" w:pos="8640"/>
      </w:tabs>
    </w:pPr>
    <w:rPr>
      <w:color w:val="auto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AB693B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kern w:val="2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693B"/>
    <w:pPr>
      <w:spacing w:before="100" w:beforeAutospacing="1" w:after="100" w:afterAutospacing="1"/>
    </w:pPr>
    <w:rPr>
      <w:rFonts w:ascii="Times" w:hAnsi="Times"/>
      <w:color w:val="auto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B693B"/>
    <w:pPr>
      <w:tabs>
        <w:tab w:val="center" w:pos="4320"/>
        <w:tab w:val="right" w:pos="8640"/>
      </w:tabs>
    </w:pPr>
    <w:rPr>
      <w:color w:val="auto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AB693B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AB693B"/>
  </w:style>
  <w:style w:type="paragraph" w:styleId="Header">
    <w:name w:val="header"/>
    <w:basedOn w:val="Normal"/>
    <w:link w:val="HeaderChar"/>
    <w:uiPriority w:val="99"/>
    <w:unhideWhenUsed/>
    <w:rsid w:val="00AB693B"/>
    <w:pPr>
      <w:tabs>
        <w:tab w:val="center" w:pos="4320"/>
        <w:tab w:val="right" w:pos="8640"/>
      </w:tabs>
    </w:pPr>
    <w:rPr>
      <w:color w:val="auto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AB69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1652</Characters>
  <Application>Microsoft Macintosh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Mulligan</dc:creator>
  <cp:keywords/>
  <dc:description/>
  <cp:lastModifiedBy>Mary Mulligan</cp:lastModifiedBy>
  <cp:revision>1</cp:revision>
  <dcterms:created xsi:type="dcterms:W3CDTF">2015-12-04T18:53:00Z</dcterms:created>
  <dcterms:modified xsi:type="dcterms:W3CDTF">2015-12-04T18:54:00Z</dcterms:modified>
</cp:coreProperties>
</file>