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A473E" w14:textId="77777777" w:rsidR="003F58C6" w:rsidRPr="002E5D86" w:rsidRDefault="003F58C6" w:rsidP="003F58C6">
      <w:pPr>
        <w:spacing w:line="480" w:lineRule="auto"/>
        <w:jc w:val="both"/>
        <w:rPr>
          <w:rFonts w:ascii="Times" w:hAnsi="Times"/>
          <w:b/>
        </w:rPr>
      </w:pPr>
      <w:r w:rsidRPr="002E5D86">
        <w:rPr>
          <w:rFonts w:ascii="Times" w:hAnsi="Times"/>
          <w:b/>
        </w:rPr>
        <w:t>SUPPLEMENTARY MATERIAL</w:t>
      </w:r>
    </w:p>
    <w:p w14:paraId="3A8BEFD0" w14:textId="77777777" w:rsidR="003F58C6" w:rsidRPr="002E5D86" w:rsidRDefault="003F58C6" w:rsidP="003F58C6">
      <w:pPr>
        <w:spacing w:line="480" w:lineRule="auto"/>
        <w:jc w:val="both"/>
        <w:rPr>
          <w:rFonts w:ascii="Times" w:eastAsia="Arial Unicode MS" w:hAnsi="Times"/>
        </w:rPr>
      </w:pPr>
      <w:r w:rsidRPr="002E5D86">
        <w:rPr>
          <w:rFonts w:ascii="Times" w:hAnsi="Times"/>
          <w:b/>
        </w:rPr>
        <w:t>Figure S1</w:t>
      </w:r>
      <w:r w:rsidRPr="002E5D86">
        <w:rPr>
          <w:rFonts w:ascii="Times" w:hAnsi="Times"/>
        </w:rPr>
        <w:t xml:space="preserve">. </w:t>
      </w:r>
      <w:r w:rsidRPr="002E5D86">
        <w:rPr>
          <w:rFonts w:ascii="Times" w:hAnsi="Times"/>
          <w:b/>
        </w:rPr>
        <w:t xml:space="preserve">NMR spectroscopy analysis of </w:t>
      </w:r>
      <w:r w:rsidRPr="002E5D86">
        <w:rPr>
          <w:rFonts w:ascii="Times" w:hAnsi="Times"/>
          <w:b/>
          <w:i/>
        </w:rPr>
        <w:t>SUS1</w:t>
      </w:r>
      <w:r w:rsidRPr="002E5D86">
        <w:rPr>
          <w:rFonts w:ascii="Times" w:hAnsi="Times"/>
          <w:b/>
        </w:rPr>
        <w:t xml:space="preserve"> I2s construct</w:t>
      </w:r>
      <w:r w:rsidRPr="002E5D86">
        <w:rPr>
          <w:rFonts w:ascii="Times" w:eastAsia="Arial Unicode MS" w:hAnsi="Times"/>
        </w:rPr>
        <w:t>. (A) Assignment of the imino region of the NOESY spectrum of I2s (H</w:t>
      </w:r>
      <w:r w:rsidRPr="002E5D86">
        <w:rPr>
          <w:rFonts w:ascii="Times" w:eastAsia="Arial Unicode MS" w:hAnsi="Times"/>
          <w:vertAlign w:val="subscript"/>
        </w:rPr>
        <w:t>2</w:t>
      </w:r>
      <w:r w:rsidRPr="002E5D86">
        <w:rPr>
          <w:rFonts w:ascii="Times" w:eastAsia="Arial Unicode MS" w:hAnsi="Times"/>
        </w:rPr>
        <w:t>O/D</w:t>
      </w:r>
      <w:r w:rsidRPr="002E5D86">
        <w:rPr>
          <w:rFonts w:ascii="Times" w:eastAsia="Arial Unicode MS" w:hAnsi="Times"/>
          <w:vertAlign w:val="subscript"/>
        </w:rPr>
        <w:t>2</w:t>
      </w:r>
      <w:r w:rsidRPr="002E5D86">
        <w:rPr>
          <w:rFonts w:ascii="Times" w:eastAsia="Arial Unicode MS" w:hAnsi="Times"/>
        </w:rPr>
        <w:t xml:space="preserve">O, 300 ms mixing time, 7 </w:t>
      </w:r>
      <w:r w:rsidRPr="002E5D86">
        <w:rPr>
          <w:rFonts w:ascii="Times" w:eastAsia="Arial Unicode MS" w:hAnsi="Times"/>
          <w:vertAlign w:val="superscript"/>
        </w:rPr>
        <w:t>o</w:t>
      </w:r>
      <w:r w:rsidRPr="002E5D86">
        <w:rPr>
          <w:rFonts w:ascii="Times" w:eastAsia="Arial Unicode MS" w:hAnsi="Times"/>
        </w:rPr>
        <w:t xml:space="preserve">C, 100 mM NaCl). Selected crosspeaks (a) to (h) are assigned as follows: a, G36 H1-U62 H3; b, G38 H1-U60 H3; c, A37 H2-U62 H3; d, A37 H2-G36 H1; e, G38 H1-A39 H2; f, U63 H3-U62 H3; g, U63 H3-G36 H1; h, C46 H4-G52 H1; i, A37 H1’-G36 H1; j, A39 H1’-G38 H1. (B) Inset of (A) showing NOE interactions between adenine H2 resonances and uracil imino H3 protons. H2-H3 crosspeaks indicating Watson-Crick A-U base pairs are labelled, sequential cross-strand interactions are indicated with solid horizontal arrows, and crosspeaks (c), (d) and (e) are identified in (A). (C) Inset of (A) illustrating the NOE interactions established by A-U pair H2 protons in the aromatic to H1’/H5 spectral region. A-U H2 resonances are indicated with dashed lines, intraresidue H1´-H6/H8 crosspeaks are labelled with residue name and number, and pyrimidine H5-H6 crosspeaks are labelled with residue number. Crosspeaks (k) to (y) are assigned as follows: k, G38 H1’-A37 H2; l, U62 H1’-A37 H2; m, A40 H1’-A39 H2; n, U60 H1’-A39 H2; o, A35 H1’-H2; p, U64 H1’-A35 H2; q, G36 H1’-A35 H2; r, A35 H1’-A34 H2; s, A34 H1’-H2; t, U65 H1’-A34 H2; </w:t>
      </w:r>
      <w:r w:rsidR="006376B3" w:rsidRPr="006376B3">
        <w:rPr>
          <w:rFonts w:ascii="Times" w:eastAsia="Arial Unicode MS" w:hAnsi="Times"/>
        </w:rPr>
        <w:t>u, C67 H1’-A32 H2</w:t>
      </w:r>
      <w:bookmarkStart w:id="0" w:name="_GoBack"/>
      <w:bookmarkEnd w:id="0"/>
      <w:r w:rsidRPr="002E5D86">
        <w:rPr>
          <w:rFonts w:ascii="Times" w:eastAsia="Arial Unicode MS" w:hAnsi="Times"/>
        </w:rPr>
        <w:t>; v, A34 H1’-A33 H2; w, U66 H1’-A33 H2. Crosspeaks (x) and (y) are sequential interactions: x, A37 H1’-G38 H8; y, A35 H1’-G36 H8. In (B) and (C), parentheses indicate tentative assignments.</w:t>
      </w:r>
    </w:p>
    <w:p w14:paraId="257BD3AF" w14:textId="77777777" w:rsidR="003F58C6" w:rsidRPr="002E5D86" w:rsidRDefault="003F58C6" w:rsidP="003F58C6">
      <w:pPr>
        <w:spacing w:line="480" w:lineRule="auto"/>
        <w:jc w:val="both"/>
        <w:rPr>
          <w:rFonts w:ascii="Times" w:eastAsia="Arial Unicode MS" w:hAnsi="Times"/>
        </w:rPr>
      </w:pPr>
    </w:p>
    <w:p w14:paraId="1A74A13D" w14:textId="77777777" w:rsidR="003F58C6" w:rsidRPr="002E5D86" w:rsidRDefault="003F58C6" w:rsidP="003F58C6">
      <w:pPr>
        <w:spacing w:line="480" w:lineRule="auto"/>
        <w:jc w:val="both"/>
        <w:rPr>
          <w:rFonts w:ascii="Times" w:eastAsia="Arial Unicode MS" w:hAnsi="Times"/>
        </w:rPr>
      </w:pPr>
      <w:r w:rsidRPr="002E5D86">
        <w:rPr>
          <w:rFonts w:ascii="Times" w:eastAsia="Arial Unicode MS" w:hAnsi="Times"/>
          <w:b/>
        </w:rPr>
        <w:t>Figure S2. UV-monitored thermal denaturation curves of I2s</w:t>
      </w:r>
      <w:r w:rsidRPr="002E5D86">
        <w:rPr>
          <w:rFonts w:ascii="Times" w:eastAsia="Arial Unicode MS" w:hAnsi="Times"/>
        </w:rPr>
        <w:t>. The curves show I2s melting in aqueous buffers containing 2 mM sodium phosphate (pH 6.0) with no added salts, or additionally containing 2 mM MgCl</w:t>
      </w:r>
      <w:r w:rsidRPr="002E5D86">
        <w:rPr>
          <w:rFonts w:ascii="Times" w:eastAsia="Arial Unicode MS" w:hAnsi="Times"/>
          <w:vertAlign w:val="subscript"/>
        </w:rPr>
        <w:t>2</w:t>
      </w:r>
      <w:r w:rsidRPr="002E5D86">
        <w:rPr>
          <w:rFonts w:ascii="Times" w:eastAsia="Arial Unicode MS" w:hAnsi="Times"/>
        </w:rPr>
        <w:t xml:space="preserve">. The average melting temperatures measured for I2s under these ionic conditions are indicated in the graphs. </w:t>
      </w:r>
      <w:r w:rsidRPr="002E5D86">
        <w:t xml:space="preserve">The melting curves were monophasic in all cases. </w:t>
      </w:r>
    </w:p>
    <w:p w14:paraId="075A71A3" w14:textId="77777777" w:rsidR="003F58C6" w:rsidRPr="002E5D86" w:rsidRDefault="003F58C6" w:rsidP="003F58C6">
      <w:pPr>
        <w:spacing w:line="480" w:lineRule="auto"/>
        <w:jc w:val="both"/>
        <w:rPr>
          <w:b/>
        </w:rPr>
      </w:pPr>
    </w:p>
    <w:p w14:paraId="33C630D7" w14:textId="77777777" w:rsidR="003F58C6" w:rsidRPr="002E5D86" w:rsidRDefault="003F58C6" w:rsidP="003F58C6">
      <w:pPr>
        <w:spacing w:line="480" w:lineRule="auto"/>
        <w:jc w:val="both"/>
      </w:pPr>
      <w:r w:rsidRPr="002E5D86">
        <w:rPr>
          <w:b/>
        </w:rPr>
        <w:t xml:space="preserve">Figure S3. </w:t>
      </w:r>
      <w:r w:rsidRPr="002E5D86">
        <w:rPr>
          <w:rFonts w:ascii="Times" w:eastAsia="Arial Unicode MS" w:hAnsi="Times"/>
          <w:b/>
        </w:rPr>
        <w:t xml:space="preserve">The absence of </w:t>
      </w:r>
      <w:r w:rsidRPr="002E5D86">
        <w:rPr>
          <w:rFonts w:ascii="Times" w:eastAsia="Arial Unicode MS" w:hAnsi="Times"/>
          <w:b/>
          <w:i/>
        </w:rPr>
        <w:t>SUS1</w:t>
      </w:r>
      <w:r w:rsidRPr="002E5D86">
        <w:rPr>
          <w:rFonts w:ascii="Times" w:eastAsia="Arial Unicode MS" w:hAnsi="Times"/>
          <w:b/>
        </w:rPr>
        <w:t xml:space="preserve"> intron 1 did not change the effect of I2-mut1 on </w:t>
      </w:r>
      <w:r w:rsidRPr="002E5D86">
        <w:rPr>
          <w:rFonts w:ascii="Times" w:eastAsia="Arial Unicode MS" w:hAnsi="Times"/>
          <w:b/>
          <w:i/>
        </w:rPr>
        <w:t>SUS1</w:t>
      </w:r>
      <w:r w:rsidRPr="002E5D86">
        <w:rPr>
          <w:rFonts w:ascii="Times" w:eastAsia="Arial Unicode MS" w:hAnsi="Times"/>
          <w:b/>
        </w:rPr>
        <w:t xml:space="preserve"> processing. </w:t>
      </w:r>
      <w:r w:rsidRPr="002E5D86">
        <w:rPr>
          <w:rFonts w:ascii="Times" w:hAnsi="Times"/>
          <w:bCs/>
        </w:rPr>
        <w:t xml:space="preserve">Copper assay of </w:t>
      </w:r>
      <w:r w:rsidRPr="002E5D86">
        <w:rPr>
          <w:rFonts w:ascii="Times" w:hAnsi="Times"/>
          <w:bCs/>
          <w:i/>
        </w:rPr>
        <w:t>cup1∆</w:t>
      </w:r>
      <w:r w:rsidRPr="002E5D86">
        <w:rPr>
          <w:rFonts w:ascii="Times" w:hAnsi="Times"/>
          <w:bCs/>
        </w:rPr>
        <w:t xml:space="preserve"> cells transformed with plasmids containing SUS1-I1</w:t>
      </w:r>
      <w:r w:rsidRPr="002E5D86">
        <w:rPr>
          <w:rFonts w:ascii="Times" w:hAnsi="Times"/>
          <w:bCs/>
          <w:i/>
        </w:rPr>
        <w:t>∆</w:t>
      </w:r>
      <w:r w:rsidRPr="002E5D86">
        <w:rPr>
          <w:rFonts w:ascii="Times" w:hAnsi="Times"/>
          <w:bCs/>
        </w:rPr>
        <w:t xml:space="preserve"> -CUP1, SUS1-I2-mut1-I1</w:t>
      </w:r>
      <w:r w:rsidRPr="002E5D86">
        <w:rPr>
          <w:rFonts w:ascii="Times" w:hAnsi="Times"/>
          <w:bCs/>
          <w:i/>
        </w:rPr>
        <w:t>∆</w:t>
      </w:r>
      <w:r w:rsidRPr="002E5D86">
        <w:rPr>
          <w:rFonts w:ascii="Times" w:hAnsi="Times"/>
          <w:bCs/>
        </w:rPr>
        <w:t xml:space="preserve"> -CUP1 and ACT1-CUP1 as a control</w:t>
      </w:r>
      <w:r w:rsidRPr="002E5D86">
        <w:rPr>
          <w:rFonts w:ascii="Times" w:eastAsia="Arial Unicode MS" w:hAnsi="Times"/>
        </w:rPr>
        <w:t xml:space="preserve">. </w:t>
      </w:r>
      <w:r w:rsidRPr="002E5D86">
        <w:rPr>
          <w:rFonts w:ascii="Times" w:hAnsi="Times"/>
          <w:bCs/>
        </w:rPr>
        <w:t>Maximum copper tolerance is indicated.</w:t>
      </w:r>
      <w:r w:rsidRPr="002E5D86">
        <w:rPr>
          <w:rFonts w:ascii="Times" w:eastAsia="Arial Unicode MS" w:hAnsi="Times"/>
        </w:rPr>
        <w:t xml:space="preserve"> </w:t>
      </w:r>
    </w:p>
    <w:p w14:paraId="554C6B8A" w14:textId="77777777" w:rsidR="003F58C6" w:rsidRPr="002E5D86" w:rsidRDefault="003F58C6" w:rsidP="003F58C6">
      <w:pPr>
        <w:spacing w:line="480" w:lineRule="auto"/>
        <w:jc w:val="both"/>
        <w:rPr>
          <w:rFonts w:ascii="Times" w:eastAsia="Arial Unicode MS" w:hAnsi="Times"/>
          <w:b/>
        </w:rPr>
      </w:pPr>
    </w:p>
    <w:p w14:paraId="6FC67940" w14:textId="77777777" w:rsidR="003F58C6" w:rsidRPr="002E5D86" w:rsidRDefault="003F58C6" w:rsidP="003F58C6">
      <w:pPr>
        <w:spacing w:line="480" w:lineRule="auto"/>
        <w:jc w:val="both"/>
      </w:pPr>
      <w:r w:rsidRPr="002E5D86">
        <w:rPr>
          <w:rFonts w:ascii="Times" w:eastAsia="Arial Unicode MS" w:hAnsi="Times"/>
          <w:b/>
        </w:rPr>
        <w:t xml:space="preserve">Figure S4. </w:t>
      </w:r>
      <w:r w:rsidRPr="002E5D86">
        <w:rPr>
          <w:rFonts w:ascii="Times" w:eastAsia="Arial Unicode MS" w:hAnsi="Times"/>
          <w:b/>
          <w:i/>
        </w:rPr>
        <w:t>In vitro</w:t>
      </w:r>
      <w:r w:rsidRPr="002E5D86">
        <w:rPr>
          <w:rFonts w:ascii="Times" w:eastAsia="Arial Unicode MS" w:hAnsi="Times"/>
          <w:b/>
        </w:rPr>
        <w:t xml:space="preserve"> analyses of intron 2 mutant oligonucleotides I2-mut2s, I2-mut3s and I2-mut4s. </w:t>
      </w:r>
      <w:r w:rsidRPr="002E5D86">
        <w:rPr>
          <w:rFonts w:ascii="Times" w:eastAsia="Arial Unicode MS" w:hAnsi="Times"/>
        </w:rPr>
        <w:t xml:space="preserve">(A) </w:t>
      </w:r>
      <w:r w:rsidRPr="002E5D86">
        <w:rPr>
          <w:rFonts w:ascii="Times" w:hAnsi="Times"/>
        </w:rPr>
        <w:t xml:space="preserve">MFold-predicted secondary structures of mutant I2s oligonucleotides. (B) </w:t>
      </w:r>
      <w:r w:rsidRPr="002E5D86">
        <w:rPr>
          <w:rFonts w:ascii="Times" w:eastAsia="Arial Unicode MS" w:hAnsi="Times"/>
        </w:rPr>
        <w:t xml:space="preserve">Native gels comparing the electrophoretic mobility of </w:t>
      </w:r>
      <w:r w:rsidRPr="002E5D86">
        <w:t>16-20</w:t>
      </w:r>
      <w:r w:rsidRPr="002E5D86">
        <w:rPr>
          <w:rFonts w:ascii="Times" w:eastAsia="Arial Unicode MS" w:hAnsi="Times"/>
        </w:rPr>
        <w:t xml:space="preserve"> </w:t>
      </w:r>
      <w:r w:rsidRPr="002E5D86">
        <w:rPr>
          <w:rFonts w:ascii="Symbol" w:eastAsia="Arial Unicode MS" w:hAnsi="Symbol" w:cs="Arial Unicode MS"/>
        </w:rPr>
        <w:t></w:t>
      </w:r>
      <w:r w:rsidRPr="002E5D86">
        <w:rPr>
          <w:rFonts w:ascii="Times" w:eastAsia="Arial Unicode MS" w:hAnsi="Times"/>
        </w:rPr>
        <w:t>M mutant I2s oligonucleotide samples previously annealed in different ionic conditions: (1) 2 mM sodium phosphate (pH 6.0), (2) 2 mM sodium phosphate and 100 mM NaCl, (3) 2 mM sodium phosphate and 2 mM MgCl</w:t>
      </w:r>
      <w:r w:rsidRPr="002E5D86">
        <w:rPr>
          <w:rFonts w:ascii="Times" w:eastAsia="Arial Unicode MS" w:hAnsi="Times"/>
          <w:vertAlign w:val="subscript"/>
        </w:rPr>
        <w:t>2</w:t>
      </w:r>
      <w:r w:rsidRPr="002E5D86">
        <w:rPr>
          <w:rFonts w:ascii="Times" w:eastAsia="Arial Unicode MS" w:hAnsi="Times"/>
        </w:rPr>
        <w:t xml:space="preserve">. The right lanes contain 32-nt and/or 46-nt RNA hairpin controls. (C) UV-monitored thermal denaturation curves of mutant I2s oligomers in 2 mM sodium phosphate (pH 6.0) and 100 mM NaCl. The average melting temperatures of the I2-mut2s, I2-mut3s and I2-mut4s constructs under these ionic conditions are indicated in the graphs. </w:t>
      </w:r>
    </w:p>
    <w:p w14:paraId="2C269093" w14:textId="77777777" w:rsidR="003F58C6" w:rsidRPr="002E5D86" w:rsidRDefault="003F58C6" w:rsidP="003F58C6">
      <w:pPr>
        <w:spacing w:line="480" w:lineRule="auto"/>
        <w:jc w:val="both"/>
        <w:rPr>
          <w:rFonts w:ascii="Times" w:eastAsia="Arial Unicode MS" w:hAnsi="Times"/>
          <w:b/>
        </w:rPr>
      </w:pPr>
    </w:p>
    <w:p w14:paraId="5E8528D9" w14:textId="77777777" w:rsidR="003F58C6" w:rsidRPr="002E5D86" w:rsidRDefault="003F58C6" w:rsidP="003F58C6">
      <w:pPr>
        <w:spacing w:line="480" w:lineRule="auto"/>
        <w:jc w:val="both"/>
        <w:rPr>
          <w:rFonts w:ascii="Times" w:hAnsi="Times"/>
        </w:rPr>
      </w:pPr>
      <w:r w:rsidRPr="002E5D86">
        <w:rPr>
          <w:rFonts w:ascii="Times" w:eastAsia="Arial Unicode MS" w:hAnsi="Times"/>
          <w:b/>
        </w:rPr>
        <w:t>Figure S5. Schematic representation of the modified pRS425 plasmid used for cloning the GPDp-</w:t>
      </w:r>
      <w:r w:rsidRPr="002E5D86">
        <w:rPr>
          <w:rFonts w:ascii="Times" w:eastAsia="Arial Unicode MS" w:hAnsi="Times"/>
          <w:b/>
          <w:i/>
          <w:iCs/>
        </w:rPr>
        <w:t>SUS1-CUP1</w:t>
      </w:r>
      <w:r w:rsidRPr="002E5D86">
        <w:rPr>
          <w:rFonts w:ascii="Times" w:eastAsia="Arial Unicode MS" w:hAnsi="Times"/>
          <w:b/>
        </w:rPr>
        <w:t xml:space="preserve"> constructs. </w:t>
      </w:r>
      <w:r w:rsidRPr="002E5D86">
        <w:rPr>
          <w:rFonts w:ascii="Times" w:eastAsia="Arial Unicode MS" w:hAnsi="Times"/>
        </w:rPr>
        <w:t>The representation was generated by the ApE plasmid editor</w:t>
      </w:r>
      <w:r w:rsidRPr="002E5D86">
        <w:rPr>
          <w:rFonts w:ascii="Times" w:eastAsia="Arial Unicode MS" w:hAnsi="Times"/>
          <w:b/>
        </w:rPr>
        <w:t xml:space="preserve">. </w:t>
      </w:r>
    </w:p>
    <w:p w14:paraId="357CF7AE" w14:textId="77777777" w:rsidR="003F58C6" w:rsidRPr="002E5D86" w:rsidRDefault="003F58C6" w:rsidP="003F58C6">
      <w:pPr>
        <w:spacing w:line="480" w:lineRule="auto"/>
        <w:jc w:val="both"/>
        <w:rPr>
          <w:rFonts w:ascii="Times" w:eastAsia="Arial Unicode MS" w:hAnsi="Times"/>
          <w:b/>
        </w:rPr>
      </w:pPr>
    </w:p>
    <w:p w14:paraId="1636A8CD" w14:textId="77777777" w:rsidR="003F58C6" w:rsidRPr="002E5D86" w:rsidRDefault="003F58C6" w:rsidP="003F58C6">
      <w:pPr>
        <w:spacing w:line="480" w:lineRule="auto"/>
        <w:jc w:val="both"/>
        <w:rPr>
          <w:rFonts w:ascii="Times" w:hAnsi="Times"/>
        </w:rPr>
      </w:pPr>
      <w:r w:rsidRPr="002E5D86">
        <w:rPr>
          <w:rFonts w:ascii="Times" w:eastAsia="Arial Unicode MS" w:hAnsi="Times"/>
          <w:b/>
        </w:rPr>
        <w:t>Table S1. List of primers used in this study.</w:t>
      </w:r>
    </w:p>
    <w:p w14:paraId="49F68B1A" w14:textId="77777777" w:rsidR="008420E3" w:rsidRDefault="008420E3"/>
    <w:sectPr w:rsidR="008420E3" w:rsidSect="00F35638">
      <w:headerReference w:type="default" r:id="rId7"/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4830F" w14:textId="77777777" w:rsidR="00000000" w:rsidRDefault="006376B3">
      <w:r>
        <w:separator/>
      </w:r>
    </w:p>
  </w:endnote>
  <w:endnote w:type="continuationSeparator" w:id="0">
    <w:p w14:paraId="775E4672" w14:textId="77777777" w:rsidR="00000000" w:rsidRDefault="0063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B6240" w14:textId="77777777" w:rsidR="000F491F" w:rsidRDefault="003F58C6" w:rsidP="00916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450F0F" w14:textId="77777777" w:rsidR="000F491F" w:rsidRDefault="006376B3" w:rsidP="000F047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72924" w14:textId="77777777" w:rsidR="000F491F" w:rsidRDefault="003F58C6" w:rsidP="00916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76B3">
      <w:rPr>
        <w:rStyle w:val="PageNumber"/>
        <w:noProof/>
      </w:rPr>
      <w:t>1</w:t>
    </w:r>
    <w:r>
      <w:rPr>
        <w:rStyle w:val="PageNumber"/>
      </w:rPr>
      <w:fldChar w:fldCharType="end"/>
    </w:r>
  </w:p>
  <w:p w14:paraId="16F205CC" w14:textId="77777777" w:rsidR="000F491F" w:rsidRDefault="006376B3" w:rsidP="000F047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33AFE" w14:textId="77777777" w:rsidR="00000000" w:rsidRDefault="006376B3">
      <w:r>
        <w:separator/>
      </w:r>
    </w:p>
  </w:footnote>
  <w:footnote w:type="continuationSeparator" w:id="0">
    <w:p w14:paraId="42F92600" w14:textId="77777777" w:rsidR="00000000" w:rsidRDefault="006376B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85981" w14:textId="77777777" w:rsidR="000F491F" w:rsidRDefault="003F58C6">
    <w:pPr>
      <w:pStyle w:val="Header"/>
    </w:pPr>
    <w:r>
      <w:t>AbuQattam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C6"/>
    <w:rsid w:val="0027073C"/>
    <w:rsid w:val="003F58C6"/>
    <w:rsid w:val="006376B3"/>
    <w:rsid w:val="008420E3"/>
    <w:rsid w:val="009B717E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AC4FC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F58C6"/>
    <w:pPr>
      <w:tabs>
        <w:tab w:val="center" w:pos="4252"/>
        <w:tab w:val="right" w:pos="8504"/>
      </w:tabs>
    </w:pPr>
    <w:rPr>
      <w:rFonts w:eastAsia="MS ??"/>
      <w:color w:val="auto"/>
      <w:kern w:val="0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3F58C6"/>
    <w:rPr>
      <w:rFonts w:eastAsia="MS ??"/>
      <w:sz w:val="24"/>
      <w:lang w:val="en-GB" w:eastAsia="en-GB"/>
    </w:rPr>
  </w:style>
  <w:style w:type="character" w:styleId="PageNumber">
    <w:name w:val="page number"/>
    <w:uiPriority w:val="99"/>
    <w:semiHidden/>
    <w:rsid w:val="003F58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F58C6"/>
    <w:pPr>
      <w:tabs>
        <w:tab w:val="center" w:pos="4252"/>
        <w:tab w:val="right" w:pos="8504"/>
      </w:tabs>
    </w:pPr>
    <w:rPr>
      <w:rFonts w:eastAsia="MS ??"/>
      <w:color w:val="auto"/>
      <w:kern w:val="0"/>
      <w:szCs w:val="20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3F58C6"/>
    <w:rPr>
      <w:rFonts w:eastAsia="MS ??"/>
      <w:sz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F58C6"/>
    <w:pPr>
      <w:tabs>
        <w:tab w:val="center" w:pos="4252"/>
        <w:tab w:val="right" w:pos="8504"/>
      </w:tabs>
    </w:pPr>
    <w:rPr>
      <w:rFonts w:eastAsia="MS ??"/>
      <w:color w:val="auto"/>
      <w:kern w:val="0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3F58C6"/>
    <w:rPr>
      <w:rFonts w:eastAsia="MS ??"/>
      <w:sz w:val="24"/>
      <w:lang w:val="en-GB" w:eastAsia="en-GB"/>
    </w:rPr>
  </w:style>
  <w:style w:type="character" w:styleId="PageNumber">
    <w:name w:val="page number"/>
    <w:uiPriority w:val="99"/>
    <w:semiHidden/>
    <w:rsid w:val="003F58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F58C6"/>
    <w:pPr>
      <w:tabs>
        <w:tab w:val="center" w:pos="4252"/>
        <w:tab w:val="right" w:pos="8504"/>
      </w:tabs>
    </w:pPr>
    <w:rPr>
      <w:rFonts w:eastAsia="MS ??"/>
      <w:color w:val="auto"/>
      <w:kern w:val="0"/>
      <w:szCs w:val="20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3F58C6"/>
    <w:rPr>
      <w:rFonts w:eastAsia="MS ??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2649</Characters>
  <Application>Microsoft Macintosh Word</Application>
  <DocSecurity>0</DocSecurity>
  <Lines>31</Lines>
  <Paragraphs>7</Paragraphs>
  <ScaleCrop>false</ScaleCrop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Cindy Blaut</cp:lastModifiedBy>
  <cp:revision>2</cp:revision>
  <dcterms:created xsi:type="dcterms:W3CDTF">2015-10-09T15:10:00Z</dcterms:created>
  <dcterms:modified xsi:type="dcterms:W3CDTF">2015-11-03T20:04:00Z</dcterms:modified>
</cp:coreProperties>
</file>