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470CA" w14:textId="77777777" w:rsidR="0062474F" w:rsidRPr="00D06C90" w:rsidRDefault="0062474F" w:rsidP="0062474F">
      <w:pPr>
        <w:spacing w:line="360" w:lineRule="auto"/>
        <w:jc w:val="both"/>
        <w:rPr>
          <w:rFonts w:ascii="Times New Roman" w:hAnsi="Times New Roman" w:cs="Times New Roman"/>
          <w:b/>
          <w:sz w:val="20"/>
          <w:szCs w:val="20"/>
        </w:rPr>
      </w:pPr>
      <w:r w:rsidRPr="00D06C90">
        <w:rPr>
          <w:rFonts w:ascii="Times New Roman" w:hAnsi="Times New Roman" w:cs="Times New Roman"/>
          <w:b/>
          <w:sz w:val="20"/>
          <w:szCs w:val="20"/>
        </w:rPr>
        <w:t>Supplementary</w:t>
      </w:r>
      <w:bookmarkStart w:id="0" w:name="_GoBack"/>
      <w:bookmarkEnd w:id="0"/>
      <w:r w:rsidRPr="00D06C90">
        <w:rPr>
          <w:rFonts w:ascii="Times New Roman" w:hAnsi="Times New Roman" w:cs="Times New Roman"/>
          <w:b/>
          <w:sz w:val="20"/>
          <w:szCs w:val="20"/>
        </w:rPr>
        <w:t xml:space="preserve"> </w:t>
      </w:r>
      <w:r>
        <w:rPr>
          <w:rFonts w:ascii="Times New Roman" w:hAnsi="Times New Roman" w:cs="Times New Roman"/>
          <w:b/>
          <w:sz w:val="20"/>
          <w:szCs w:val="20"/>
        </w:rPr>
        <w:t>Tables and Figures</w:t>
      </w:r>
    </w:p>
    <w:p w14:paraId="1457CC14" w14:textId="77777777" w:rsidR="0062474F" w:rsidRDefault="0062474F" w:rsidP="0062474F">
      <w:pPr>
        <w:spacing w:line="360" w:lineRule="auto"/>
        <w:jc w:val="both"/>
        <w:rPr>
          <w:rFonts w:ascii="Times New Roman" w:hAnsi="Times New Roman" w:cs="Times New Roman"/>
          <w:b/>
          <w:sz w:val="20"/>
          <w:szCs w:val="20"/>
        </w:rPr>
      </w:pPr>
    </w:p>
    <w:p w14:paraId="073CD4D0" w14:textId="77777777" w:rsidR="0062474F" w:rsidRPr="008E365C" w:rsidRDefault="0062474F" w:rsidP="0062474F">
      <w:pPr>
        <w:jc w:val="both"/>
        <w:rPr>
          <w:rFonts w:ascii="Times New Roman" w:hAnsi="Times New Roman" w:cs="Times New Roman"/>
          <w:b/>
          <w:sz w:val="20"/>
          <w:szCs w:val="20"/>
        </w:rPr>
      </w:pPr>
      <w:r>
        <w:rPr>
          <w:rFonts w:ascii="Times New Roman" w:hAnsi="Times New Roman" w:cs="Times New Roman"/>
          <w:b/>
          <w:sz w:val="20"/>
          <w:szCs w:val="20"/>
        </w:rPr>
        <w:t xml:space="preserve">Table S1. Statistically significant (p-value ≤ 0.01) intron retention events common for </w:t>
      </w:r>
      <w:r>
        <w:rPr>
          <w:rFonts w:ascii="Times New Roman" w:hAnsi="Times New Roman" w:cs="Times New Roman"/>
          <w:b/>
          <w:i/>
          <w:sz w:val="20"/>
          <w:szCs w:val="20"/>
        </w:rPr>
        <w:t>prp-</w:t>
      </w:r>
      <w:proofErr w:type="gramStart"/>
      <w:r>
        <w:rPr>
          <w:rFonts w:ascii="Times New Roman" w:hAnsi="Times New Roman" w:cs="Times New Roman"/>
          <w:b/>
          <w:i/>
          <w:sz w:val="20"/>
          <w:szCs w:val="20"/>
        </w:rPr>
        <w:t>6(</w:t>
      </w:r>
      <w:proofErr w:type="spellStart"/>
      <w:proofErr w:type="gramEnd"/>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w:t>
      </w:r>
      <w:r>
        <w:rPr>
          <w:rFonts w:ascii="Times New Roman" w:hAnsi="Times New Roman" w:cs="Times New Roman"/>
          <w:b/>
          <w:i/>
          <w:sz w:val="20"/>
          <w:szCs w:val="20"/>
        </w:rPr>
        <w:t>prp-8(</w:t>
      </w:r>
      <w:proofErr w:type="spellStart"/>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and </w:t>
      </w:r>
      <w:r>
        <w:rPr>
          <w:rFonts w:ascii="Times New Roman" w:hAnsi="Times New Roman" w:cs="Times New Roman"/>
          <w:b/>
          <w:i/>
          <w:sz w:val="20"/>
          <w:szCs w:val="20"/>
        </w:rPr>
        <w:t>prp-31(</w:t>
      </w:r>
      <w:proofErr w:type="spellStart"/>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animals. </w:t>
      </w:r>
      <w:r>
        <w:rPr>
          <w:rFonts w:ascii="Times New Roman" w:hAnsi="Times New Roman" w:cs="Times New Roman"/>
          <w:sz w:val="20"/>
          <w:szCs w:val="20"/>
        </w:rPr>
        <w:t>RNA-</w:t>
      </w:r>
      <w:proofErr w:type="spellStart"/>
      <w:r>
        <w:rPr>
          <w:rFonts w:ascii="Times New Roman" w:hAnsi="Times New Roman" w:cs="Times New Roman"/>
          <w:sz w:val="20"/>
          <w:szCs w:val="20"/>
        </w:rPr>
        <w:t>Seq</w:t>
      </w:r>
      <w:proofErr w:type="spellEnd"/>
      <w:r>
        <w:rPr>
          <w:rFonts w:ascii="Times New Roman" w:hAnsi="Times New Roman" w:cs="Times New Roman"/>
          <w:sz w:val="20"/>
          <w:szCs w:val="20"/>
        </w:rPr>
        <w:t xml:space="preserve"> reads were mapped against a customized reference genome (using the WS220 version of the genome) including only introns, without any internal genes. Introns identified in the analysis were filtered out if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values of 0 FPKM in any </w:t>
      </w:r>
      <w:proofErr w:type="spellStart"/>
      <w:r>
        <w:rPr>
          <w:rFonts w:ascii="Times New Roman" w:hAnsi="Times New Roman" w:cs="Times New Roman"/>
          <w:i/>
          <w:sz w:val="20"/>
          <w:szCs w:val="20"/>
        </w:rPr>
        <w:t>prp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RNAi</w:t>
      </w:r>
      <w:proofErr w:type="spellEnd"/>
      <w:r>
        <w:rPr>
          <w:rFonts w:ascii="Times New Roman" w:hAnsi="Times New Roman" w:cs="Times New Roman"/>
          <w:sz w:val="20"/>
          <w:szCs w:val="20"/>
        </w:rPr>
        <w:t xml:space="preserve"> sample, (ii</w:t>
      </w:r>
      <w:proofErr w:type="gramStart"/>
      <w:r>
        <w:rPr>
          <w:rFonts w:ascii="Times New Roman" w:hAnsi="Times New Roman" w:cs="Times New Roman"/>
          <w:sz w:val="20"/>
          <w:szCs w:val="20"/>
        </w:rPr>
        <w:t>)  p</w:t>
      </w:r>
      <w:proofErr w:type="gramEnd"/>
      <w:r>
        <w:rPr>
          <w:rFonts w:ascii="Times New Roman" w:hAnsi="Times New Roman" w:cs="Times New Roman"/>
          <w:sz w:val="20"/>
          <w:szCs w:val="20"/>
        </w:rPr>
        <w:t xml:space="preserve">-value was higher than 0,01, and (iii) FPKM did not follow a gradient </w:t>
      </w:r>
      <w:r>
        <w:rPr>
          <w:rFonts w:ascii="Times New Roman" w:hAnsi="Times New Roman" w:cs="Times New Roman"/>
          <w:i/>
          <w:sz w:val="20"/>
          <w:szCs w:val="20"/>
        </w:rPr>
        <w:t>prp-8</w:t>
      </w:r>
      <w:r>
        <w:rPr>
          <w:rFonts w:ascii="Times New Roman" w:hAnsi="Times New Roman" w:cs="Times New Roman"/>
          <w:sz w:val="20"/>
          <w:szCs w:val="20"/>
        </w:rPr>
        <w:t xml:space="preserve"> &gt;</w:t>
      </w:r>
      <w:r>
        <w:rPr>
          <w:rFonts w:ascii="Times New Roman" w:hAnsi="Times New Roman" w:cs="Times New Roman"/>
          <w:i/>
          <w:sz w:val="20"/>
          <w:szCs w:val="20"/>
        </w:rPr>
        <w:t>prp-6</w:t>
      </w:r>
      <w:r>
        <w:rPr>
          <w:rFonts w:ascii="Times New Roman" w:hAnsi="Times New Roman" w:cs="Times New Roman"/>
          <w:sz w:val="20"/>
          <w:szCs w:val="20"/>
        </w:rPr>
        <w:t>&gt;</w:t>
      </w:r>
      <w:r>
        <w:rPr>
          <w:rFonts w:ascii="Times New Roman" w:hAnsi="Times New Roman" w:cs="Times New Roman"/>
          <w:i/>
          <w:sz w:val="20"/>
          <w:szCs w:val="20"/>
        </w:rPr>
        <w:t>prp-31</w:t>
      </w:r>
      <w:r>
        <w:rPr>
          <w:rFonts w:ascii="Times New Roman" w:hAnsi="Times New Roman" w:cs="Times New Roman"/>
          <w:sz w:val="20"/>
          <w:szCs w:val="20"/>
        </w:rPr>
        <w:t>.</w:t>
      </w:r>
    </w:p>
    <w:p w14:paraId="43BCF638" w14:textId="77777777" w:rsidR="0062474F" w:rsidRPr="008E365C" w:rsidRDefault="0062474F" w:rsidP="0062474F">
      <w:pPr>
        <w:jc w:val="both"/>
        <w:rPr>
          <w:rFonts w:ascii="Times New Roman" w:hAnsi="Times New Roman" w:cs="Times New Roman"/>
          <w:sz w:val="20"/>
          <w:szCs w:val="20"/>
        </w:rPr>
      </w:pPr>
      <w:r>
        <w:rPr>
          <w:rFonts w:ascii="Times New Roman" w:hAnsi="Times New Roman" w:cs="Times New Roman"/>
          <w:sz w:val="20"/>
          <w:szCs w:val="20"/>
        </w:rPr>
        <w:t xml:space="preserve">Sheet 1: L3 N2 animals, Sheet 2: L3 </w:t>
      </w:r>
      <w:r>
        <w:rPr>
          <w:rFonts w:ascii="Times New Roman" w:hAnsi="Times New Roman" w:cs="Times New Roman"/>
          <w:i/>
          <w:sz w:val="20"/>
          <w:szCs w:val="20"/>
        </w:rPr>
        <w:t>smg-1</w:t>
      </w:r>
      <w:r>
        <w:rPr>
          <w:rFonts w:ascii="Times New Roman" w:hAnsi="Times New Roman" w:cs="Times New Roman"/>
          <w:sz w:val="20"/>
          <w:szCs w:val="20"/>
        </w:rPr>
        <w:t xml:space="preserve"> mutants, Sheet 3: Adult N2, Sheet 4: 7 common intron retention events in N2 and </w:t>
      </w:r>
      <w:r>
        <w:rPr>
          <w:rFonts w:ascii="Times New Roman" w:hAnsi="Times New Roman" w:cs="Times New Roman"/>
          <w:i/>
          <w:sz w:val="20"/>
          <w:szCs w:val="20"/>
        </w:rPr>
        <w:t>smg-1</w:t>
      </w:r>
      <w:r>
        <w:rPr>
          <w:rFonts w:ascii="Times New Roman" w:hAnsi="Times New Roman" w:cs="Times New Roman"/>
          <w:sz w:val="20"/>
          <w:szCs w:val="20"/>
        </w:rPr>
        <w:t xml:space="preserve"> mutants, Sheet 5: Information retrieved from </w:t>
      </w:r>
      <w:proofErr w:type="spellStart"/>
      <w:r>
        <w:rPr>
          <w:rFonts w:ascii="Times New Roman" w:hAnsi="Times New Roman" w:cs="Times New Roman"/>
          <w:sz w:val="20"/>
          <w:szCs w:val="20"/>
        </w:rPr>
        <w:t>Wormart</w:t>
      </w:r>
      <w:proofErr w:type="spellEnd"/>
      <w:r>
        <w:rPr>
          <w:rFonts w:ascii="Times New Roman" w:hAnsi="Times New Roman" w:cs="Times New Roman"/>
          <w:sz w:val="20"/>
          <w:szCs w:val="20"/>
        </w:rPr>
        <w:t xml:space="preserve"> about genes with intron retention events</w:t>
      </w:r>
    </w:p>
    <w:p w14:paraId="433EA733" w14:textId="77777777" w:rsidR="0062474F" w:rsidRPr="008E365C" w:rsidRDefault="0062474F" w:rsidP="0062474F">
      <w:pPr>
        <w:spacing w:line="360" w:lineRule="auto"/>
        <w:jc w:val="both"/>
        <w:rPr>
          <w:rFonts w:ascii="Times New Roman" w:hAnsi="Times New Roman" w:cs="Times New Roman"/>
          <w:b/>
          <w:sz w:val="20"/>
          <w:szCs w:val="20"/>
        </w:rPr>
      </w:pPr>
    </w:p>
    <w:p w14:paraId="55A115BC" w14:textId="77777777" w:rsidR="0062474F" w:rsidRDefault="0062474F" w:rsidP="0062474F">
      <w:pPr>
        <w:jc w:val="both"/>
        <w:rPr>
          <w:rFonts w:ascii="Times New Roman" w:hAnsi="Times New Roman" w:cs="Times New Roman"/>
          <w:sz w:val="20"/>
          <w:szCs w:val="20"/>
        </w:rPr>
      </w:pPr>
      <w:r>
        <w:rPr>
          <w:rFonts w:ascii="Times New Roman" w:hAnsi="Times New Roman" w:cs="Times New Roman"/>
          <w:b/>
          <w:sz w:val="20"/>
          <w:szCs w:val="20"/>
        </w:rPr>
        <w:t xml:space="preserve">Table S2. List of genes significantly (p value ≤ </w:t>
      </w:r>
      <w:proofErr w:type="gramStart"/>
      <w:r>
        <w:rPr>
          <w:rFonts w:ascii="Times New Roman" w:hAnsi="Times New Roman" w:cs="Times New Roman"/>
          <w:b/>
          <w:sz w:val="20"/>
          <w:szCs w:val="20"/>
        </w:rPr>
        <w:t>0,01)</w:t>
      </w:r>
      <w:proofErr w:type="spellStart"/>
      <w:r>
        <w:rPr>
          <w:rFonts w:ascii="Times New Roman" w:hAnsi="Times New Roman" w:cs="Times New Roman"/>
          <w:b/>
          <w:sz w:val="20"/>
          <w:szCs w:val="20"/>
        </w:rPr>
        <w:t>upregulated</w:t>
      </w:r>
      <w:proofErr w:type="spellEnd"/>
      <w:proofErr w:type="gramEnd"/>
      <w:r>
        <w:rPr>
          <w:rFonts w:ascii="Times New Roman" w:hAnsi="Times New Roman" w:cs="Times New Roman"/>
          <w:b/>
          <w:sz w:val="20"/>
          <w:szCs w:val="20"/>
        </w:rPr>
        <w:t xml:space="preserve"> and </w:t>
      </w:r>
      <w:proofErr w:type="spellStart"/>
      <w:r>
        <w:rPr>
          <w:rFonts w:ascii="Times New Roman" w:hAnsi="Times New Roman" w:cs="Times New Roman"/>
          <w:b/>
          <w:sz w:val="20"/>
          <w:szCs w:val="20"/>
        </w:rPr>
        <w:t>downregulated</w:t>
      </w:r>
      <w:proofErr w:type="spellEnd"/>
      <w:r>
        <w:rPr>
          <w:rFonts w:ascii="Times New Roman" w:hAnsi="Times New Roman" w:cs="Times New Roman"/>
          <w:b/>
          <w:sz w:val="20"/>
          <w:szCs w:val="20"/>
        </w:rPr>
        <w:t xml:space="preserve"> after </w:t>
      </w:r>
      <w:proofErr w:type="spellStart"/>
      <w:r>
        <w:rPr>
          <w:rFonts w:ascii="Times New Roman" w:hAnsi="Times New Roman" w:cs="Times New Roman"/>
          <w:b/>
          <w:sz w:val="20"/>
          <w:szCs w:val="20"/>
        </w:rPr>
        <w:t>RNAi</w:t>
      </w:r>
      <w:proofErr w:type="spellEnd"/>
      <w:r>
        <w:rPr>
          <w:rFonts w:ascii="Times New Roman" w:hAnsi="Times New Roman" w:cs="Times New Roman"/>
          <w:b/>
          <w:sz w:val="20"/>
          <w:szCs w:val="20"/>
        </w:rPr>
        <w:t xml:space="preserve"> of </w:t>
      </w:r>
      <w:r>
        <w:rPr>
          <w:rFonts w:ascii="Times New Roman" w:hAnsi="Times New Roman" w:cs="Times New Roman"/>
          <w:b/>
          <w:i/>
          <w:sz w:val="20"/>
          <w:szCs w:val="20"/>
        </w:rPr>
        <w:t>prp-6</w:t>
      </w:r>
      <w:r>
        <w:rPr>
          <w:rFonts w:ascii="Times New Roman" w:hAnsi="Times New Roman" w:cs="Times New Roman"/>
          <w:b/>
          <w:sz w:val="20"/>
          <w:szCs w:val="20"/>
        </w:rPr>
        <w:t xml:space="preserve">, </w:t>
      </w:r>
      <w:r>
        <w:rPr>
          <w:rFonts w:ascii="Times New Roman" w:hAnsi="Times New Roman" w:cs="Times New Roman"/>
          <w:b/>
          <w:i/>
          <w:sz w:val="20"/>
          <w:szCs w:val="20"/>
        </w:rPr>
        <w:t>prp-8</w:t>
      </w:r>
      <w:r>
        <w:rPr>
          <w:rFonts w:ascii="Times New Roman" w:hAnsi="Times New Roman" w:cs="Times New Roman"/>
          <w:b/>
          <w:sz w:val="20"/>
          <w:szCs w:val="20"/>
        </w:rPr>
        <w:t xml:space="preserve"> and </w:t>
      </w:r>
      <w:r>
        <w:rPr>
          <w:rFonts w:ascii="Times New Roman" w:hAnsi="Times New Roman" w:cs="Times New Roman"/>
          <w:b/>
          <w:i/>
          <w:sz w:val="20"/>
          <w:szCs w:val="20"/>
        </w:rPr>
        <w:t>prp-</w:t>
      </w:r>
      <w:r>
        <w:rPr>
          <w:rFonts w:ascii="Times New Roman" w:hAnsi="Times New Roman" w:cs="Times New Roman"/>
          <w:b/>
          <w:sz w:val="20"/>
          <w:szCs w:val="20"/>
        </w:rPr>
        <w:t xml:space="preserve">31 in N2 and </w:t>
      </w:r>
      <w:r>
        <w:rPr>
          <w:rFonts w:ascii="Times New Roman" w:hAnsi="Times New Roman" w:cs="Times New Roman"/>
          <w:b/>
          <w:i/>
          <w:sz w:val="20"/>
          <w:szCs w:val="20"/>
        </w:rPr>
        <w:t>smg-1(r861)</w:t>
      </w:r>
      <w:r>
        <w:rPr>
          <w:rFonts w:ascii="Times New Roman" w:hAnsi="Times New Roman" w:cs="Times New Roman"/>
          <w:b/>
          <w:sz w:val="20"/>
          <w:szCs w:val="20"/>
        </w:rPr>
        <w:t xml:space="preserve"> L3 worms, and </w:t>
      </w:r>
      <w:r>
        <w:rPr>
          <w:rFonts w:ascii="Times New Roman" w:hAnsi="Times New Roman" w:cs="Times New Roman"/>
          <w:b/>
          <w:i/>
          <w:sz w:val="20"/>
          <w:szCs w:val="20"/>
        </w:rPr>
        <w:t>glp-4(bn2)</w:t>
      </w:r>
      <w:r>
        <w:rPr>
          <w:rFonts w:ascii="Times New Roman" w:hAnsi="Times New Roman" w:cs="Times New Roman"/>
          <w:b/>
          <w:sz w:val="20"/>
          <w:szCs w:val="20"/>
        </w:rPr>
        <w:t xml:space="preserve"> adult animals</w:t>
      </w:r>
      <w:r>
        <w:rPr>
          <w:rFonts w:ascii="Times New Roman" w:hAnsi="Times New Roman" w:cs="Times New Roman"/>
          <w:sz w:val="20"/>
          <w:szCs w:val="20"/>
        </w:rPr>
        <w:t>. Number of RNA-</w:t>
      </w:r>
      <w:proofErr w:type="spellStart"/>
      <w:r>
        <w:rPr>
          <w:rFonts w:ascii="Times New Roman" w:hAnsi="Times New Roman" w:cs="Times New Roman"/>
          <w:sz w:val="20"/>
          <w:szCs w:val="20"/>
        </w:rPr>
        <w:t>Seq</w:t>
      </w:r>
      <w:proofErr w:type="spellEnd"/>
      <w:r>
        <w:rPr>
          <w:rFonts w:ascii="Times New Roman" w:hAnsi="Times New Roman" w:cs="Times New Roman"/>
          <w:sz w:val="20"/>
          <w:szCs w:val="20"/>
        </w:rPr>
        <w:t xml:space="preserve"> reads per transcript was normalized and number of reads per gene was represented as FPKM (fragments per </w:t>
      </w:r>
      <w:proofErr w:type="spellStart"/>
      <w:r>
        <w:rPr>
          <w:rFonts w:ascii="Times New Roman" w:hAnsi="Times New Roman" w:cs="Times New Roman"/>
          <w:sz w:val="20"/>
          <w:szCs w:val="20"/>
        </w:rPr>
        <w:t>kilobase</w:t>
      </w:r>
      <w:proofErr w:type="spellEnd"/>
      <w:r>
        <w:rPr>
          <w:rFonts w:ascii="Times New Roman" w:hAnsi="Times New Roman" w:cs="Times New Roman"/>
          <w:sz w:val="20"/>
          <w:szCs w:val="20"/>
        </w:rPr>
        <w:t xml:space="preserve"> per million).</w:t>
      </w:r>
    </w:p>
    <w:p w14:paraId="1FCBAEB5" w14:textId="77777777" w:rsidR="0062474F" w:rsidRPr="008E365C" w:rsidRDefault="0062474F" w:rsidP="0062474F">
      <w:pPr>
        <w:spacing w:line="360" w:lineRule="auto"/>
        <w:jc w:val="both"/>
        <w:rPr>
          <w:rFonts w:ascii="Times New Roman" w:hAnsi="Times New Roman" w:cs="Times New Roman"/>
          <w:b/>
          <w:sz w:val="20"/>
          <w:szCs w:val="20"/>
        </w:rPr>
      </w:pPr>
    </w:p>
    <w:p w14:paraId="63FA0E53" w14:textId="77777777" w:rsidR="0062474F" w:rsidRPr="008E365C" w:rsidRDefault="0062474F" w:rsidP="0062474F">
      <w:pPr>
        <w:spacing w:line="360" w:lineRule="auto"/>
        <w:jc w:val="both"/>
        <w:rPr>
          <w:rFonts w:ascii="Times New Roman" w:hAnsi="Times New Roman" w:cs="Times New Roman"/>
          <w:b/>
          <w:sz w:val="20"/>
          <w:szCs w:val="20"/>
        </w:rPr>
      </w:pPr>
      <w:r>
        <w:rPr>
          <w:rFonts w:ascii="Times New Roman" w:hAnsi="Times New Roman" w:cs="Times New Roman"/>
          <w:b/>
          <w:sz w:val="20"/>
          <w:szCs w:val="20"/>
        </w:rPr>
        <w:t>Table S3. RNA-</w:t>
      </w:r>
      <w:proofErr w:type="spellStart"/>
      <w:r>
        <w:rPr>
          <w:rFonts w:ascii="Times New Roman" w:hAnsi="Times New Roman" w:cs="Times New Roman"/>
          <w:b/>
          <w:sz w:val="20"/>
          <w:szCs w:val="20"/>
        </w:rPr>
        <w:t>Seq</w:t>
      </w:r>
      <w:proofErr w:type="spellEnd"/>
      <w:r>
        <w:rPr>
          <w:rFonts w:ascii="Times New Roman" w:hAnsi="Times New Roman" w:cs="Times New Roman"/>
          <w:b/>
          <w:sz w:val="20"/>
          <w:szCs w:val="20"/>
        </w:rPr>
        <w:t xml:space="preserve"> reads corresponding to eight alternative splicing events after </w:t>
      </w:r>
      <w:proofErr w:type="spellStart"/>
      <w:proofErr w:type="gramStart"/>
      <w:r>
        <w:rPr>
          <w:rFonts w:ascii="Times New Roman" w:hAnsi="Times New Roman" w:cs="Times New Roman"/>
          <w:b/>
          <w:i/>
          <w:sz w:val="20"/>
          <w:szCs w:val="20"/>
        </w:rPr>
        <w:t>gfp</w:t>
      </w:r>
      <w:proofErr w:type="spellEnd"/>
      <w:r>
        <w:rPr>
          <w:rFonts w:ascii="Times New Roman" w:hAnsi="Times New Roman" w:cs="Times New Roman"/>
          <w:b/>
          <w:i/>
          <w:sz w:val="20"/>
          <w:szCs w:val="20"/>
        </w:rPr>
        <w:t>(</w:t>
      </w:r>
      <w:proofErr w:type="spellStart"/>
      <w:proofErr w:type="gramEnd"/>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w:t>
      </w:r>
      <w:r>
        <w:rPr>
          <w:rFonts w:ascii="Times New Roman" w:hAnsi="Times New Roman" w:cs="Times New Roman"/>
          <w:b/>
          <w:i/>
          <w:sz w:val="20"/>
          <w:szCs w:val="20"/>
        </w:rPr>
        <w:t>prp-6(</w:t>
      </w:r>
      <w:proofErr w:type="spellStart"/>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w:t>
      </w:r>
      <w:r>
        <w:rPr>
          <w:rFonts w:ascii="Times New Roman" w:hAnsi="Times New Roman" w:cs="Times New Roman"/>
          <w:b/>
          <w:i/>
          <w:sz w:val="20"/>
          <w:szCs w:val="20"/>
        </w:rPr>
        <w:t>prp-8(</w:t>
      </w:r>
      <w:proofErr w:type="spellStart"/>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 xml:space="preserve"> and </w:t>
      </w:r>
      <w:r>
        <w:rPr>
          <w:rFonts w:ascii="Times New Roman" w:hAnsi="Times New Roman" w:cs="Times New Roman"/>
          <w:b/>
          <w:i/>
          <w:sz w:val="20"/>
          <w:szCs w:val="20"/>
        </w:rPr>
        <w:t>prp-31(</w:t>
      </w:r>
      <w:proofErr w:type="spellStart"/>
      <w:r>
        <w:rPr>
          <w:rFonts w:ascii="Times New Roman" w:hAnsi="Times New Roman" w:cs="Times New Roman"/>
          <w:b/>
          <w:i/>
          <w:sz w:val="20"/>
          <w:szCs w:val="20"/>
        </w:rPr>
        <w:t>RNAi</w:t>
      </w:r>
      <w:proofErr w:type="spellEnd"/>
      <w:r>
        <w:rPr>
          <w:rFonts w:ascii="Times New Roman" w:hAnsi="Times New Roman" w:cs="Times New Roman"/>
          <w:b/>
          <w:i/>
          <w:sz w:val="20"/>
          <w:szCs w:val="20"/>
        </w:rPr>
        <w:t>)</w:t>
      </w:r>
      <w:r>
        <w:rPr>
          <w:rFonts w:ascii="Times New Roman" w:hAnsi="Times New Roman" w:cs="Times New Roman"/>
          <w:b/>
          <w:sz w:val="20"/>
          <w:szCs w:val="20"/>
        </w:rPr>
        <w:t>.</w:t>
      </w:r>
    </w:p>
    <w:p w14:paraId="0B046551" w14:textId="77777777" w:rsidR="0062474F" w:rsidRPr="008E365C" w:rsidRDefault="0062474F" w:rsidP="0062474F">
      <w:pPr>
        <w:spacing w:line="360" w:lineRule="auto"/>
        <w:jc w:val="both"/>
        <w:rPr>
          <w:rFonts w:ascii="Times New Roman" w:hAnsi="Times New Roman" w:cs="Times New Roman"/>
          <w:b/>
          <w:sz w:val="20"/>
          <w:szCs w:val="20"/>
        </w:rPr>
      </w:pPr>
    </w:p>
    <w:p w14:paraId="42AF7BC3" w14:textId="77777777" w:rsidR="0062474F" w:rsidRPr="008E365C" w:rsidRDefault="0062474F" w:rsidP="0062474F">
      <w:pPr>
        <w:jc w:val="both"/>
        <w:rPr>
          <w:rFonts w:ascii="Times New Roman" w:hAnsi="Times New Roman" w:cs="Times New Roman"/>
          <w:b/>
          <w:sz w:val="20"/>
          <w:szCs w:val="20"/>
        </w:rPr>
      </w:pPr>
      <w:r>
        <w:rPr>
          <w:rFonts w:ascii="Times New Roman" w:hAnsi="Times New Roman" w:cs="Times New Roman"/>
          <w:b/>
          <w:sz w:val="20"/>
          <w:szCs w:val="20"/>
        </w:rPr>
        <w:t>Figure S1.</w:t>
      </w:r>
      <w:r>
        <w:rPr>
          <w:rFonts w:ascii="Times New Roman" w:hAnsi="Times New Roman" w:cs="Times New Roman"/>
          <w:b/>
          <w:sz w:val="20"/>
          <w:szCs w:val="20"/>
        </w:rPr>
        <w:tab/>
        <w:t xml:space="preserve"> </w:t>
      </w:r>
      <w:proofErr w:type="gramStart"/>
      <w:r>
        <w:rPr>
          <w:rFonts w:ascii="Times New Roman" w:hAnsi="Times New Roman" w:cs="Times New Roman"/>
          <w:b/>
          <w:sz w:val="20"/>
          <w:szCs w:val="20"/>
        </w:rPr>
        <w:t>Conservation of s-</w:t>
      </w:r>
      <w:proofErr w:type="spellStart"/>
      <w:r>
        <w:rPr>
          <w:rFonts w:ascii="Times New Roman" w:hAnsi="Times New Roman" w:cs="Times New Roman"/>
          <w:b/>
          <w:sz w:val="20"/>
          <w:szCs w:val="20"/>
        </w:rPr>
        <w:t>adRP</w:t>
      </w:r>
      <w:proofErr w:type="spellEnd"/>
      <w:r>
        <w:rPr>
          <w:rFonts w:ascii="Times New Roman" w:hAnsi="Times New Roman" w:cs="Times New Roman"/>
          <w:b/>
          <w:sz w:val="20"/>
          <w:szCs w:val="20"/>
        </w:rPr>
        <w:t xml:space="preserve"> genes from yeast to human.</w:t>
      </w:r>
      <w:proofErr w:type="gramEnd"/>
      <w:r>
        <w:rPr>
          <w:rFonts w:ascii="Times New Roman" w:hAnsi="Times New Roman" w:cs="Times New Roman"/>
          <w:b/>
          <w:sz w:val="20"/>
          <w:szCs w:val="20"/>
        </w:rPr>
        <w:t xml:space="preserve">  </w:t>
      </w:r>
      <w:proofErr w:type="gramStart"/>
      <w:r>
        <w:rPr>
          <w:rFonts w:ascii="Times New Roman" w:hAnsi="Times New Roman" w:cs="Times New Roman"/>
          <w:sz w:val="20"/>
          <w:szCs w:val="20"/>
        </w:rPr>
        <w:t>Phylogenetic tree of s-</w:t>
      </w:r>
      <w:proofErr w:type="spellStart"/>
      <w:r>
        <w:rPr>
          <w:rFonts w:ascii="Times New Roman" w:hAnsi="Times New Roman" w:cs="Times New Roman"/>
          <w:sz w:val="20"/>
          <w:szCs w:val="20"/>
        </w:rPr>
        <w:t>adRP</w:t>
      </w:r>
      <w:proofErr w:type="spellEnd"/>
      <w:r>
        <w:rPr>
          <w:rFonts w:ascii="Times New Roman" w:hAnsi="Times New Roman" w:cs="Times New Roman"/>
          <w:sz w:val="20"/>
          <w:szCs w:val="20"/>
        </w:rPr>
        <w:t xml:space="preserve"> genes and schematic representation of the corresponding protein domains that remain conserved across evolution.</w:t>
      </w:r>
      <w:proofErr w:type="gramEnd"/>
      <w:r>
        <w:rPr>
          <w:rFonts w:ascii="Times New Roman" w:hAnsi="Times New Roman" w:cs="Times New Roman"/>
          <w:sz w:val="20"/>
          <w:szCs w:val="20"/>
        </w:rPr>
        <w:t xml:space="preserve"> Tree and protein domain information retrieved from </w:t>
      </w:r>
      <w:proofErr w:type="spellStart"/>
      <w:r>
        <w:rPr>
          <w:rFonts w:ascii="Times New Roman" w:hAnsi="Times New Roman" w:cs="Times New Roman"/>
          <w:sz w:val="20"/>
          <w:szCs w:val="20"/>
        </w:rPr>
        <w:t>TreeFam</w:t>
      </w:r>
      <w:proofErr w:type="spellEnd"/>
      <w:r>
        <w:rPr>
          <w:rFonts w:ascii="Times New Roman" w:hAnsi="Times New Roman" w:cs="Times New Roman"/>
          <w:sz w:val="20"/>
          <w:szCs w:val="20"/>
        </w:rPr>
        <w:t xml:space="preserve"> (Schreiber et al. 2014).</w:t>
      </w:r>
    </w:p>
    <w:p w14:paraId="612BCF8A" w14:textId="77777777" w:rsidR="0062474F" w:rsidRPr="008E365C" w:rsidRDefault="0062474F" w:rsidP="0062474F">
      <w:pPr>
        <w:spacing w:line="360" w:lineRule="auto"/>
        <w:jc w:val="both"/>
        <w:rPr>
          <w:rFonts w:ascii="Times New Roman" w:hAnsi="Times New Roman" w:cs="Times New Roman"/>
          <w:sz w:val="20"/>
          <w:szCs w:val="20"/>
        </w:rPr>
      </w:pPr>
    </w:p>
    <w:p w14:paraId="68C5C9F5" w14:textId="77777777" w:rsidR="0062474F" w:rsidRPr="008E365C" w:rsidRDefault="0062474F" w:rsidP="0062474F">
      <w:pPr>
        <w:jc w:val="both"/>
        <w:rPr>
          <w:rFonts w:ascii="Times New Roman" w:hAnsi="Times New Roman" w:cs="Times New Roman"/>
          <w:b/>
          <w:sz w:val="20"/>
          <w:szCs w:val="20"/>
        </w:rPr>
      </w:pPr>
      <w:r>
        <w:rPr>
          <w:rFonts w:ascii="Times New Roman" w:hAnsi="Times New Roman" w:cs="Times New Roman"/>
          <w:b/>
          <w:sz w:val="20"/>
          <w:szCs w:val="20"/>
        </w:rPr>
        <w:t>Figure S2.</w:t>
      </w:r>
      <w:r>
        <w:rPr>
          <w:rFonts w:ascii="Times New Roman" w:hAnsi="Times New Roman" w:cs="Times New Roman"/>
          <w:b/>
          <w:sz w:val="20"/>
          <w:szCs w:val="20"/>
        </w:rPr>
        <w:tab/>
        <w:t xml:space="preserve"> </w:t>
      </w:r>
      <w:proofErr w:type="gramStart"/>
      <w:r>
        <w:rPr>
          <w:rFonts w:ascii="Times New Roman" w:hAnsi="Times New Roman" w:cs="Times New Roman"/>
          <w:b/>
          <w:i/>
          <w:sz w:val="20"/>
          <w:szCs w:val="20"/>
        </w:rPr>
        <w:t>prp</w:t>
      </w:r>
      <w:proofErr w:type="gramEnd"/>
      <w:r>
        <w:rPr>
          <w:rFonts w:ascii="Times New Roman" w:hAnsi="Times New Roman" w:cs="Times New Roman"/>
          <w:b/>
          <w:i/>
          <w:sz w:val="20"/>
          <w:szCs w:val="20"/>
        </w:rPr>
        <w:t>-31(gk1094)</w:t>
      </w:r>
      <w:r>
        <w:rPr>
          <w:rFonts w:ascii="Times New Roman" w:hAnsi="Times New Roman" w:cs="Times New Roman"/>
          <w:b/>
          <w:sz w:val="20"/>
          <w:szCs w:val="20"/>
        </w:rPr>
        <w:t xml:space="preserve"> and </w:t>
      </w:r>
      <w:r>
        <w:rPr>
          <w:rFonts w:ascii="Times New Roman" w:hAnsi="Times New Roman" w:cs="Times New Roman"/>
          <w:b/>
          <w:i/>
          <w:sz w:val="20"/>
          <w:szCs w:val="20"/>
        </w:rPr>
        <w:t>prp-8(gk3511)</w:t>
      </w:r>
      <w:r>
        <w:rPr>
          <w:rFonts w:ascii="Times New Roman" w:hAnsi="Times New Roman" w:cs="Times New Roman"/>
          <w:b/>
          <w:sz w:val="20"/>
          <w:szCs w:val="20"/>
        </w:rPr>
        <w:t xml:space="preserve"> heterozygous animals are </w:t>
      </w:r>
      <w:proofErr w:type="spellStart"/>
      <w:r>
        <w:rPr>
          <w:rFonts w:ascii="Times New Roman" w:hAnsi="Times New Roman" w:cs="Times New Roman"/>
          <w:b/>
          <w:sz w:val="20"/>
          <w:szCs w:val="20"/>
        </w:rPr>
        <w:t>happlosufficient</w:t>
      </w:r>
      <w:proofErr w:type="spellEnd"/>
      <w:r>
        <w:rPr>
          <w:rFonts w:ascii="Times New Roman" w:hAnsi="Times New Roman" w:cs="Times New Roman"/>
          <w:b/>
          <w:sz w:val="20"/>
          <w:szCs w:val="20"/>
        </w:rPr>
        <w:t xml:space="preserve"> in germ line and embryonic development.  </w:t>
      </w:r>
      <w:r>
        <w:rPr>
          <w:rFonts w:ascii="Times New Roman" w:hAnsi="Times New Roman" w:cs="Times New Roman"/>
          <w:sz w:val="20"/>
          <w:szCs w:val="20"/>
        </w:rPr>
        <w:t>(A) Progeny and embryonic lethality of at least 8 worms of the indicated genotypes was scored at 15ºC. Heterozygous worms for both alleles (without the balancer) show a slight reduction in the number of viable progeny. Additionally, the hT2 balancer by itself is deleterious for the survival producing fewer progeny and embryonic lethality. So the use of the alleles without the balancer is recommended for careful examination of the mutant phenotype.</w:t>
      </w:r>
      <w:r>
        <w:rPr>
          <w:rFonts w:ascii="Times New Roman" w:hAnsi="Times New Roman" w:cs="Times New Roman"/>
          <w:b/>
          <w:sz w:val="20"/>
          <w:szCs w:val="20"/>
        </w:rPr>
        <w:t xml:space="preserve"> </w:t>
      </w:r>
      <w:r>
        <w:rPr>
          <w:rFonts w:ascii="Times New Roman" w:hAnsi="Times New Roman" w:cs="Times New Roman"/>
          <w:sz w:val="20"/>
          <w:szCs w:val="20"/>
        </w:rPr>
        <w:t xml:space="preserve">Bars represent the standard deviation. (B) Brood size of heterozygous </w:t>
      </w:r>
      <w:r>
        <w:rPr>
          <w:rFonts w:ascii="Times New Roman" w:hAnsi="Times New Roman" w:cs="Times New Roman"/>
          <w:i/>
          <w:sz w:val="20"/>
          <w:szCs w:val="20"/>
        </w:rPr>
        <w:t>prp-</w:t>
      </w:r>
      <w:proofErr w:type="gramStart"/>
      <w:r>
        <w:rPr>
          <w:rFonts w:ascii="Times New Roman" w:hAnsi="Times New Roman" w:cs="Times New Roman"/>
          <w:i/>
          <w:sz w:val="20"/>
          <w:szCs w:val="20"/>
        </w:rPr>
        <w:t>31(</w:t>
      </w:r>
      <w:proofErr w:type="gramEnd"/>
      <w:r>
        <w:rPr>
          <w:rFonts w:ascii="Times New Roman" w:hAnsi="Times New Roman" w:cs="Times New Roman"/>
          <w:i/>
          <w:sz w:val="20"/>
          <w:szCs w:val="20"/>
        </w:rPr>
        <w:t>gk1094)</w:t>
      </w:r>
      <w:r>
        <w:rPr>
          <w:rFonts w:ascii="Times New Roman" w:hAnsi="Times New Roman" w:cs="Times New Roman"/>
          <w:sz w:val="20"/>
          <w:szCs w:val="20"/>
        </w:rPr>
        <w:t xml:space="preserve"> worms balanced with the two genetic markers </w:t>
      </w:r>
      <w:r w:rsidRPr="00793ED7">
        <w:rPr>
          <w:rFonts w:ascii="Times New Roman" w:hAnsi="Times New Roman" w:cs="Times New Roman"/>
          <w:i/>
          <w:sz w:val="20"/>
          <w:szCs w:val="20"/>
        </w:rPr>
        <w:t xml:space="preserve">unc-57(ad592) </w:t>
      </w:r>
      <w:r w:rsidRPr="00793ED7">
        <w:rPr>
          <w:rFonts w:ascii="Times New Roman" w:hAnsi="Times New Roman" w:cs="Times New Roman"/>
          <w:sz w:val="20"/>
          <w:szCs w:val="20"/>
        </w:rPr>
        <w:t xml:space="preserve">and </w:t>
      </w:r>
      <w:r w:rsidRPr="00793ED7">
        <w:rPr>
          <w:rFonts w:ascii="Times New Roman" w:hAnsi="Times New Roman" w:cs="Times New Roman"/>
          <w:i/>
          <w:sz w:val="20"/>
          <w:szCs w:val="20"/>
        </w:rPr>
        <w:t xml:space="preserve">dpy-5(e61) </w:t>
      </w:r>
      <w:r w:rsidRPr="00793ED7">
        <w:rPr>
          <w:rFonts w:ascii="Times New Roman" w:hAnsi="Times New Roman" w:cs="Times New Roman"/>
          <w:sz w:val="20"/>
          <w:szCs w:val="20"/>
        </w:rPr>
        <w:t xml:space="preserve">compared to control worms. Progeny of 15 (dots) and 17 (squares) worms was scored at 25 </w:t>
      </w:r>
      <w:r w:rsidRPr="00793ED7">
        <w:rPr>
          <w:rFonts w:ascii="Times New Roman" w:hAnsi="Times New Roman" w:cs="Times New Roman"/>
          <w:sz w:val="20"/>
          <w:szCs w:val="20"/>
        </w:rPr>
        <w:sym w:font="Symbol" w:char="F0B0"/>
      </w:r>
      <w:r w:rsidRPr="00793ED7">
        <w:rPr>
          <w:rFonts w:ascii="Times New Roman" w:hAnsi="Times New Roman" w:cs="Times New Roman"/>
          <w:sz w:val="20"/>
          <w:szCs w:val="20"/>
        </w:rPr>
        <w:t xml:space="preserve">C for each genotype. Bars represent the standard deviation. (C) Distribution of genotypic proportions among the progeny of heterozygous </w:t>
      </w:r>
      <w:r>
        <w:rPr>
          <w:rFonts w:ascii="Times New Roman" w:hAnsi="Times New Roman" w:cs="Times New Roman"/>
          <w:i/>
          <w:sz w:val="20"/>
          <w:szCs w:val="20"/>
        </w:rPr>
        <w:t>prp-</w:t>
      </w:r>
      <w:proofErr w:type="gramStart"/>
      <w:r>
        <w:rPr>
          <w:rFonts w:ascii="Times New Roman" w:hAnsi="Times New Roman" w:cs="Times New Roman"/>
          <w:i/>
          <w:sz w:val="20"/>
          <w:szCs w:val="20"/>
        </w:rPr>
        <w:t>31(</w:t>
      </w:r>
      <w:proofErr w:type="gramEnd"/>
      <w:r>
        <w:rPr>
          <w:rFonts w:ascii="Times New Roman" w:hAnsi="Times New Roman" w:cs="Times New Roman"/>
          <w:i/>
          <w:sz w:val="20"/>
          <w:szCs w:val="20"/>
        </w:rPr>
        <w:t>gk1094); unc-57(ad592) dpy-5(e61)</w:t>
      </w:r>
      <w:r>
        <w:rPr>
          <w:rFonts w:ascii="Times New Roman" w:hAnsi="Times New Roman" w:cs="Times New Roman"/>
          <w:sz w:val="20"/>
          <w:szCs w:val="20"/>
        </w:rPr>
        <w:t xml:space="preserve"> animals. Proportions represent the average of the progeny of five worms counted at 25 </w:t>
      </w:r>
      <w:r w:rsidRPr="00793ED7">
        <w:rPr>
          <w:rFonts w:ascii="Times New Roman" w:hAnsi="Times New Roman" w:cs="Times New Roman"/>
          <w:sz w:val="20"/>
          <w:szCs w:val="20"/>
        </w:rPr>
        <w:sym w:font="Symbol" w:char="F0B0"/>
      </w:r>
      <w:r w:rsidRPr="00793ED7">
        <w:rPr>
          <w:rFonts w:ascii="Times New Roman" w:hAnsi="Times New Roman" w:cs="Times New Roman"/>
          <w:sz w:val="20"/>
          <w:szCs w:val="20"/>
        </w:rPr>
        <w:t xml:space="preserve">C. Similar </w:t>
      </w:r>
      <w:proofErr w:type="spellStart"/>
      <w:r w:rsidRPr="00793ED7">
        <w:rPr>
          <w:rFonts w:ascii="Times New Roman" w:hAnsi="Times New Roman" w:cs="Times New Roman"/>
          <w:sz w:val="20"/>
          <w:szCs w:val="20"/>
        </w:rPr>
        <w:t>Mendelian</w:t>
      </w:r>
      <w:proofErr w:type="spellEnd"/>
      <w:r w:rsidRPr="00793ED7">
        <w:rPr>
          <w:rFonts w:ascii="Times New Roman" w:hAnsi="Times New Roman" w:cs="Times New Roman"/>
          <w:sz w:val="20"/>
          <w:szCs w:val="20"/>
        </w:rPr>
        <w:t xml:space="preserve"> inheritance was observed at 15 </w:t>
      </w:r>
      <w:r w:rsidRPr="00793ED7">
        <w:rPr>
          <w:rFonts w:ascii="Times New Roman" w:hAnsi="Times New Roman" w:cs="Times New Roman"/>
          <w:sz w:val="20"/>
          <w:szCs w:val="20"/>
        </w:rPr>
        <w:sym w:font="Symbol" w:char="F0B0"/>
      </w:r>
      <w:r w:rsidRPr="00793ED7">
        <w:rPr>
          <w:rFonts w:ascii="Times New Roman" w:hAnsi="Times New Roman" w:cs="Times New Roman"/>
          <w:sz w:val="20"/>
          <w:szCs w:val="20"/>
        </w:rPr>
        <w:t>C.</w:t>
      </w:r>
    </w:p>
    <w:p w14:paraId="06E19A44" w14:textId="77777777" w:rsidR="0062474F" w:rsidRPr="008E365C" w:rsidRDefault="0062474F" w:rsidP="0062474F">
      <w:pPr>
        <w:spacing w:line="360" w:lineRule="auto"/>
        <w:jc w:val="both"/>
        <w:rPr>
          <w:rFonts w:ascii="Times New Roman" w:hAnsi="Times New Roman" w:cs="Times New Roman"/>
          <w:sz w:val="20"/>
          <w:szCs w:val="20"/>
        </w:rPr>
      </w:pPr>
    </w:p>
    <w:p w14:paraId="17E7E983" w14:textId="77777777" w:rsidR="0062474F" w:rsidRPr="008E365C" w:rsidRDefault="0062474F" w:rsidP="0062474F">
      <w:pPr>
        <w:spacing w:line="360" w:lineRule="auto"/>
        <w:jc w:val="both"/>
        <w:rPr>
          <w:rFonts w:ascii="Times New Roman" w:hAnsi="Times New Roman" w:cs="Times New Roman"/>
          <w:b/>
          <w:sz w:val="20"/>
          <w:szCs w:val="20"/>
        </w:rPr>
      </w:pPr>
      <w:r>
        <w:rPr>
          <w:rFonts w:ascii="Times New Roman" w:hAnsi="Times New Roman" w:cs="Times New Roman"/>
          <w:b/>
          <w:sz w:val="20"/>
          <w:szCs w:val="20"/>
        </w:rPr>
        <w:t>Figure S3.</w:t>
      </w:r>
      <w:r>
        <w:rPr>
          <w:rFonts w:ascii="Times New Roman" w:hAnsi="Times New Roman" w:cs="Times New Roman"/>
          <w:b/>
          <w:sz w:val="20"/>
          <w:szCs w:val="20"/>
        </w:rPr>
        <w:tab/>
        <w:t xml:space="preserve"> Intron retention in </w:t>
      </w:r>
      <w:r>
        <w:rPr>
          <w:rFonts w:ascii="Times New Roman" w:hAnsi="Times New Roman" w:cs="Times New Roman"/>
          <w:b/>
          <w:i/>
          <w:sz w:val="20"/>
          <w:szCs w:val="20"/>
        </w:rPr>
        <w:t>fmo-5</w:t>
      </w:r>
      <w:r>
        <w:rPr>
          <w:rFonts w:ascii="Times New Roman" w:hAnsi="Times New Roman" w:cs="Times New Roman"/>
          <w:b/>
          <w:sz w:val="20"/>
          <w:szCs w:val="20"/>
        </w:rPr>
        <w:t xml:space="preserve"> mRNA</w:t>
      </w:r>
    </w:p>
    <w:p w14:paraId="36F61305" w14:textId="77777777" w:rsidR="0062474F" w:rsidRPr="008E365C" w:rsidRDefault="0062474F" w:rsidP="0062474F">
      <w:pPr>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Semiquantitative</w:t>
      </w:r>
      <w:proofErr w:type="spellEnd"/>
      <w:r>
        <w:rPr>
          <w:rFonts w:ascii="Times New Roman" w:hAnsi="Times New Roman" w:cs="Times New Roman"/>
          <w:sz w:val="20"/>
          <w:szCs w:val="20"/>
        </w:rPr>
        <w:t xml:space="preserve"> RT-PCR was used to amplify the intron indicated in the box. We detected a slight accumulation of </w:t>
      </w:r>
      <w:proofErr w:type="spellStart"/>
      <w:r>
        <w:rPr>
          <w:rFonts w:ascii="Times New Roman" w:hAnsi="Times New Roman" w:cs="Times New Roman"/>
          <w:sz w:val="20"/>
          <w:szCs w:val="20"/>
        </w:rPr>
        <w:t>unspliced</w:t>
      </w:r>
      <w:proofErr w:type="spellEnd"/>
      <w:r>
        <w:rPr>
          <w:rFonts w:ascii="Times New Roman" w:hAnsi="Times New Roman" w:cs="Times New Roman"/>
          <w:sz w:val="20"/>
          <w:szCs w:val="20"/>
        </w:rPr>
        <w:t xml:space="preserve"> transcripts after </w:t>
      </w:r>
      <w:proofErr w:type="spellStart"/>
      <w:r>
        <w:rPr>
          <w:rFonts w:ascii="Times New Roman" w:hAnsi="Times New Roman" w:cs="Times New Roman"/>
          <w:sz w:val="20"/>
          <w:szCs w:val="20"/>
        </w:rPr>
        <w:t>RNAi</w:t>
      </w:r>
      <w:proofErr w:type="spellEnd"/>
      <w:r>
        <w:rPr>
          <w:rFonts w:ascii="Times New Roman" w:hAnsi="Times New Roman" w:cs="Times New Roman"/>
          <w:sz w:val="20"/>
          <w:szCs w:val="20"/>
        </w:rPr>
        <w:t xml:space="preserve"> of s-</w:t>
      </w:r>
      <w:proofErr w:type="spellStart"/>
      <w:r>
        <w:rPr>
          <w:rFonts w:ascii="Times New Roman" w:hAnsi="Times New Roman" w:cs="Times New Roman"/>
          <w:sz w:val="20"/>
          <w:szCs w:val="20"/>
        </w:rPr>
        <w:t>adRP</w:t>
      </w:r>
      <w:proofErr w:type="spellEnd"/>
      <w:r>
        <w:rPr>
          <w:rFonts w:ascii="Times New Roman" w:hAnsi="Times New Roman" w:cs="Times New Roman"/>
          <w:sz w:val="20"/>
          <w:szCs w:val="20"/>
        </w:rPr>
        <w:t xml:space="preserve"> genes. (B) Screen capture of the IGV genome browser at H24K24.5 gene (</w:t>
      </w:r>
      <w:r>
        <w:rPr>
          <w:rFonts w:ascii="Times New Roman" w:hAnsi="Times New Roman" w:cs="Times New Roman"/>
          <w:i/>
          <w:sz w:val="20"/>
          <w:szCs w:val="20"/>
        </w:rPr>
        <w:t>fmo-5</w:t>
      </w:r>
      <w:r>
        <w:rPr>
          <w:rFonts w:ascii="Times New Roman" w:hAnsi="Times New Roman" w:cs="Times New Roman"/>
          <w:sz w:val="20"/>
          <w:szCs w:val="20"/>
        </w:rPr>
        <w:t>) showing RNA-</w:t>
      </w:r>
      <w:proofErr w:type="spellStart"/>
      <w:r>
        <w:rPr>
          <w:rFonts w:ascii="Times New Roman" w:hAnsi="Times New Roman" w:cs="Times New Roman"/>
          <w:sz w:val="20"/>
          <w:szCs w:val="20"/>
        </w:rPr>
        <w:t>Seq</w:t>
      </w:r>
      <w:proofErr w:type="spellEnd"/>
      <w:r>
        <w:rPr>
          <w:rFonts w:ascii="Times New Roman" w:hAnsi="Times New Roman" w:cs="Times New Roman"/>
          <w:sz w:val="20"/>
          <w:szCs w:val="20"/>
        </w:rPr>
        <w:t xml:space="preserve"> reads corresponding to the </w:t>
      </w:r>
      <w:r>
        <w:rPr>
          <w:rFonts w:ascii="Times New Roman" w:hAnsi="Times New Roman" w:cs="Times New Roman"/>
          <w:i/>
          <w:sz w:val="20"/>
          <w:szCs w:val="20"/>
        </w:rPr>
        <w:t>prp-</w:t>
      </w:r>
      <w:proofErr w:type="gramStart"/>
      <w:r>
        <w:rPr>
          <w:rFonts w:ascii="Times New Roman" w:hAnsi="Times New Roman" w:cs="Times New Roman"/>
          <w:i/>
          <w:sz w:val="20"/>
          <w:szCs w:val="20"/>
        </w:rPr>
        <w:t>6(</w:t>
      </w:r>
      <w:proofErr w:type="spellStart"/>
      <w:proofErr w:type="gramEnd"/>
      <w:r>
        <w:rPr>
          <w:rFonts w:ascii="Times New Roman" w:hAnsi="Times New Roman" w:cs="Times New Roman"/>
          <w:i/>
          <w:sz w:val="20"/>
          <w:szCs w:val="20"/>
        </w:rPr>
        <w:t>RNAi</w:t>
      </w:r>
      <w:proofErr w:type="spellEnd"/>
      <w:r>
        <w:rPr>
          <w:rFonts w:ascii="Times New Roman" w:hAnsi="Times New Roman" w:cs="Times New Roman"/>
          <w:i/>
          <w:sz w:val="20"/>
          <w:szCs w:val="20"/>
        </w:rPr>
        <w:t>)</w:t>
      </w:r>
      <w:r>
        <w:rPr>
          <w:rFonts w:ascii="Times New Roman" w:hAnsi="Times New Roman" w:cs="Times New Roman"/>
          <w:sz w:val="20"/>
          <w:szCs w:val="20"/>
        </w:rPr>
        <w:t xml:space="preserve"> sample. Grey boxes represent the 73 </w:t>
      </w:r>
      <w:proofErr w:type="spellStart"/>
      <w:r>
        <w:rPr>
          <w:rFonts w:ascii="Times New Roman" w:hAnsi="Times New Roman" w:cs="Times New Roman"/>
          <w:sz w:val="20"/>
          <w:szCs w:val="20"/>
        </w:rPr>
        <w:t>bp</w:t>
      </w:r>
      <w:proofErr w:type="spellEnd"/>
      <w:r>
        <w:rPr>
          <w:rFonts w:ascii="Times New Roman" w:hAnsi="Times New Roman" w:cs="Times New Roman"/>
          <w:sz w:val="20"/>
          <w:szCs w:val="20"/>
        </w:rPr>
        <w:t xml:space="preserve"> reads. Blue lines link reads mapping to two contiguous exons. The picture shows reads mapping in exon-intron borders. (C) View of the IGV genome browser at H24K24.5 gene (</w:t>
      </w:r>
      <w:r>
        <w:rPr>
          <w:rFonts w:ascii="Times New Roman" w:hAnsi="Times New Roman" w:cs="Times New Roman"/>
          <w:i/>
          <w:sz w:val="20"/>
          <w:szCs w:val="20"/>
        </w:rPr>
        <w:t>fmo-5</w:t>
      </w:r>
      <w:r>
        <w:rPr>
          <w:rFonts w:ascii="Times New Roman" w:hAnsi="Times New Roman" w:cs="Times New Roman"/>
          <w:sz w:val="20"/>
          <w:szCs w:val="20"/>
        </w:rPr>
        <w:t>) showing RNA-</w:t>
      </w:r>
      <w:proofErr w:type="spellStart"/>
      <w:r>
        <w:rPr>
          <w:rFonts w:ascii="Times New Roman" w:hAnsi="Times New Roman" w:cs="Times New Roman"/>
          <w:sz w:val="20"/>
          <w:szCs w:val="20"/>
        </w:rPr>
        <w:t>Seq</w:t>
      </w:r>
      <w:proofErr w:type="spellEnd"/>
      <w:r>
        <w:rPr>
          <w:rFonts w:ascii="Times New Roman" w:hAnsi="Times New Roman" w:cs="Times New Roman"/>
          <w:sz w:val="20"/>
          <w:szCs w:val="20"/>
        </w:rPr>
        <w:t xml:space="preserve"> reads corresponding to </w:t>
      </w:r>
      <w:proofErr w:type="spellStart"/>
      <w:proofErr w:type="gramStart"/>
      <w:r>
        <w:rPr>
          <w:rFonts w:ascii="Times New Roman" w:hAnsi="Times New Roman" w:cs="Times New Roman"/>
          <w:i/>
          <w:sz w:val="20"/>
          <w:szCs w:val="20"/>
        </w:rPr>
        <w:t>gfp</w:t>
      </w:r>
      <w:proofErr w:type="spellEnd"/>
      <w:r>
        <w:rPr>
          <w:rFonts w:ascii="Times New Roman" w:hAnsi="Times New Roman" w:cs="Times New Roman"/>
          <w:i/>
          <w:sz w:val="20"/>
          <w:szCs w:val="20"/>
        </w:rPr>
        <w:t>(</w:t>
      </w:r>
      <w:proofErr w:type="spellStart"/>
      <w:proofErr w:type="gramEnd"/>
      <w:r>
        <w:rPr>
          <w:rFonts w:ascii="Times New Roman" w:hAnsi="Times New Roman" w:cs="Times New Roman"/>
          <w:i/>
          <w:sz w:val="20"/>
          <w:szCs w:val="20"/>
        </w:rPr>
        <w:t>RNAi</w:t>
      </w:r>
      <w:proofErr w:type="spellEnd"/>
      <w:r>
        <w:rPr>
          <w:rFonts w:ascii="Times New Roman" w:hAnsi="Times New Roman" w:cs="Times New Roman"/>
          <w:i/>
          <w:sz w:val="20"/>
          <w:szCs w:val="20"/>
        </w:rPr>
        <w:t>)</w:t>
      </w:r>
      <w:r>
        <w:rPr>
          <w:rFonts w:ascii="Times New Roman" w:hAnsi="Times New Roman" w:cs="Times New Roman"/>
          <w:sz w:val="20"/>
          <w:szCs w:val="20"/>
        </w:rPr>
        <w:t xml:space="preserve"> and </w:t>
      </w:r>
      <w:r>
        <w:rPr>
          <w:rFonts w:ascii="Times New Roman" w:hAnsi="Times New Roman" w:cs="Times New Roman"/>
          <w:i/>
          <w:sz w:val="20"/>
          <w:szCs w:val="20"/>
        </w:rPr>
        <w:t>prp-8(</w:t>
      </w:r>
      <w:proofErr w:type="spellStart"/>
      <w:r>
        <w:rPr>
          <w:rFonts w:ascii="Times New Roman" w:hAnsi="Times New Roman" w:cs="Times New Roman"/>
          <w:i/>
          <w:sz w:val="20"/>
          <w:szCs w:val="20"/>
        </w:rPr>
        <w:t>RNAi</w:t>
      </w:r>
      <w:proofErr w:type="spellEnd"/>
      <w:r>
        <w:rPr>
          <w:rFonts w:ascii="Times New Roman" w:hAnsi="Times New Roman" w:cs="Times New Roman"/>
          <w:i/>
          <w:sz w:val="20"/>
          <w:szCs w:val="20"/>
        </w:rPr>
        <w:t>)</w:t>
      </w:r>
      <w:r>
        <w:rPr>
          <w:rFonts w:ascii="Times New Roman" w:hAnsi="Times New Roman" w:cs="Times New Roman"/>
          <w:sz w:val="20"/>
          <w:szCs w:val="20"/>
        </w:rPr>
        <w:t xml:space="preserve"> samples. Black regions indicate absence of reads. Both samples display similar </w:t>
      </w:r>
      <w:r>
        <w:rPr>
          <w:rFonts w:ascii="Times New Roman" w:hAnsi="Times New Roman" w:cs="Times New Roman"/>
          <w:i/>
          <w:sz w:val="20"/>
          <w:szCs w:val="20"/>
        </w:rPr>
        <w:t>fmo-5</w:t>
      </w:r>
      <w:r>
        <w:rPr>
          <w:rFonts w:ascii="Times New Roman" w:hAnsi="Times New Roman" w:cs="Times New Roman"/>
          <w:sz w:val="20"/>
          <w:szCs w:val="20"/>
        </w:rPr>
        <w:t xml:space="preserve"> expression levels, but the </w:t>
      </w:r>
      <w:r>
        <w:rPr>
          <w:rFonts w:ascii="Times New Roman" w:hAnsi="Times New Roman" w:cs="Times New Roman"/>
          <w:i/>
          <w:sz w:val="20"/>
          <w:szCs w:val="20"/>
        </w:rPr>
        <w:t>prp-</w:t>
      </w:r>
      <w:proofErr w:type="gramStart"/>
      <w:r>
        <w:rPr>
          <w:rFonts w:ascii="Times New Roman" w:hAnsi="Times New Roman" w:cs="Times New Roman"/>
          <w:i/>
          <w:sz w:val="20"/>
          <w:szCs w:val="20"/>
        </w:rPr>
        <w:t>8(</w:t>
      </w:r>
      <w:proofErr w:type="spellStart"/>
      <w:proofErr w:type="gramEnd"/>
      <w:r>
        <w:rPr>
          <w:rFonts w:ascii="Times New Roman" w:hAnsi="Times New Roman" w:cs="Times New Roman"/>
          <w:i/>
          <w:sz w:val="20"/>
          <w:szCs w:val="20"/>
        </w:rPr>
        <w:t>RNAi</w:t>
      </w:r>
      <w:proofErr w:type="spellEnd"/>
      <w:r>
        <w:rPr>
          <w:rFonts w:ascii="Times New Roman" w:hAnsi="Times New Roman" w:cs="Times New Roman"/>
          <w:i/>
          <w:sz w:val="20"/>
          <w:szCs w:val="20"/>
        </w:rPr>
        <w:t>)</w:t>
      </w:r>
      <w:r>
        <w:rPr>
          <w:rFonts w:ascii="Times New Roman" w:hAnsi="Times New Roman" w:cs="Times New Roman"/>
          <w:sz w:val="20"/>
          <w:szCs w:val="20"/>
        </w:rPr>
        <w:t xml:space="preserve"> sample present more reads in </w:t>
      </w:r>
      <w:proofErr w:type="spellStart"/>
      <w:r>
        <w:rPr>
          <w:rFonts w:ascii="Times New Roman" w:hAnsi="Times New Roman" w:cs="Times New Roman"/>
          <w:sz w:val="20"/>
          <w:szCs w:val="20"/>
        </w:rPr>
        <w:t>intronic</w:t>
      </w:r>
      <w:proofErr w:type="spellEnd"/>
      <w:r>
        <w:rPr>
          <w:rFonts w:ascii="Times New Roman" w:hAnsi="Times New Roman" w:cs="Times New Roman"/>
          <w:sz w:val="20"/>
          <w:szCs w:val="20"/>
        </w:rPr>
        <w:t xml:space="preserve"> regions.</w:t>
      </w:r>
    </w:p>
    <w:p w14:paraId="194464C9" w14:textId="77777777" w:rsidR="0062474F" w:rsidRPr="008E365C" w:rsidRDefault="0062474F" w:rsidP="0062474F">
      <w:pPr>
        <w:jc w:val="both"/>
        <w:rPr>
          <w:rFonts w:ascii="Times New Roman" w:hAnsi="Times New Roman" w:cs="Times New Roman"/>
          <w:sz w:val="20"/>
          <w:szCs w:val="20"/>
        </w:rPr>
      </w:pPr>
    </w:p>
    <w:p w14:paraId="6FDB2ECF" w14:textId="77777777" w:rsidR="0062474F" w:rsidRPr="008E365C" w:rsidRDefault="0062474F" w:rsidP="0062474F">
      <w:pPr>
        <w:jc w:val="both"/>
        <w:rPr>
          <w:rFonts w:ascii="Times New Roman" w:hAnsi="Times New Roman" w:cs="Times New Roman"/>
          <w:b/>
          <w:sz w:val="20"/>
          <w:szCs w:val="20"/>
        </w:rPr>
      </w:pPr>
      <w:r w:rsidRPr="00793ED7">
        <w:rPr>
          <w:rFonts w:ascii="Times New Roman" w:hAnsi="Times New Roman" w:cs="Times New Roman"/>
          <w:b/>
          <w:sz w:val="20"/>
          <w:szCs w:val="20"/>
        </w:rPr>
        <w:t>Figure S4:</w:t>
      </w:r>
      <w:r w:rsidRPr="00793ED7">
        <w:rPr>
          <w:rFonts w:ascii="Times New Roman" w:hAnsi="Times New Roman" w:cs="Times New Roman"/>
          <w:b/>
          <w:sz w:val="20"/>
          <w:szCs w:val="20"/>
        </w:rPr>
        <w:tab/>
        <w:t xml:space="preserve"> The number of seam cells decreases upon </w:t>
      </w:r>
      <w:r w:rsidRPr="00793ED7">
        <w:rPr>
          <w:rFonts w:ascii="Times New Roman" w:hAnsi="Times New Roman" w:cs="Times New Roman"/>
          <w:b/>
          <w:i/>
          <w:sz w:val="20"/>
          <w:szCs w:val="20"/>
        </w:rPr>
        <w:t xml:space="preserve">prp-8 </w:t>
      </w:r>
      <w:proofErr w:type="spellStart"/>
      <w:r w:rsidRPr="00793ED7">
        <w:rPr>
          <w:rFonts w:ascii="Times New Roman" w:hAnsi="Times New Roman" w:cs="Times New Roman"/>
          <w:b/>
          <w:sz w:val="20"/>
          <w:szCs w:val="20"/>
        </w:rPr>
        <w:t>RNAi</w:t>
      </w:r>
      <w:proofErr w:type="spellEnd"/>
      <w:r w:rsidRPr="00793ED7">
        <w:rPr>
          <w:rFonts w:ascii="Times New Roman" w:hAnsi="Times New Roman" w:cs="Times New Roman"/>
          <w:b/>
          <w:sz w:val="20"/>
          <w:szCs w:val="20"/>
        </w:rPr>
        <w:t>.</w:t>
      </w:r>
    </w:p>
    <w:p w14:paraId="469FB974" w14:textId="77777777" w:rsidR="0062474F" w:rsidRPr="008E365C" w:rsidRDefault="0062474F" w:rsidP="0062474F">
      <w:pPr>
        <w:jc w:val="both"/>
        <w:rPr>
          <w:rFonts w:ascii="Times New Roman" w:hAnsi="Times New Roman" w:cs="Times New Roman"/>
        </w:rPr>
      </w:pPr>
      <w:r>
        <w:rPr>
          <w:rFonts w:ascii="Times New Roman" w:hAnsi="Times New Roman" w:cs="Times New Roman"/>
          <w:sz w:val="20"/>
          <w:szCs w:val="20"/>
        </w:rPr>
        <w:t>(</w:t>
      </w:r>
      <w:r w:rsidRPr="00793ED7">
        <w:rPr>
          <w:rFonts w:ascii="Times New Roman" w:hAnsi="Times New Roman" w:cs="Times New Roman"/>
          <w:sz w:val="20"/>
          <w:szCs w:val="20"/>
        </w:rPr>
        <w:t>A</w:t>
      </w:r>
      <w:r>
        <w:rPr>
          <w:rFonts w:ascii="Times New Roman" w:hAnsi="Times New Roman" w:cs="Times New Roman"/>
          <w:sz w:val="20"/>
          <w:szCs w:val="20"/>
        </w:rPr>
        <w:t>)</w:t>
      </w:r>
      <w:r w:rsidRPr="00793ED7">
        <w:rPr>
          <w:rFonts w:ascii="Times New Roman" w:hAnsi="Times New Roman" w:cs="Times New Roman"/>
          <w:sz w:val="20"/>
          <w:szCs w:val="20"/>
        </w:rPr>
        <w:t>. Representative images of the reporter strain that carries the transgene</w:t>
      </w:r>
      <w:r w:rsidRPr="00793ED7">
        <w:rPr>
          <w:rFonts w:ascii="Times New Roman" w:hAnsi="Times New Roman" w:cs="Times New Roman"/>
          <w:i/>
          <w:sz w:val="20"/>
          <w:szCs w:val="20"/>
        </w:rPr>
        <w:t xml:space="preserve"> </w:t>
      </w:r>
      <w:proofErr w:type="gramStart"/>
      <w:r w:rsidRPr="00793ED7">
        <w:rPr>
          <w:rFonts w:ascii="Times New Roman" w:hAnsi="Times New Roman" w:cs="Times New Roman"/>
          <w:i/>
          <w:sz w:val="20"/>
          <w:szCs w:val="20"/>
        </w:rPr>
        <w:t>wls51</w:t>
      </w:r>
      <w:r w:rsidRPr="00793ED7">
        <w:rPr>
          <w:rFonts w:ascii="Times New Roman" w:hAnsi="Times New Roman" w:cs="Times New Roman"/>
          <w:sz w:val="20"/>
          <w:szCs w:val="20"/>
        </w:rPr>
        <w:t>[</w:t>
      </w:r>
      <w:proofErr w:type="spellStart"/>
      <w:proofErr w:type="gramEnd"/>
      <w:r w:rsidRPr="00793ED7">
        <w:rPr>
          <w:rFonts w:ascii="Times New Roman" w:hAnsi="Times New Roman" w:cs="Times New Roman"/>
          <w:sz w:val="20"/>
          <w:szCs w:val="20"/>
        </w:rPr>
        <w:t>SCMp</w:t>
      </w:r>
      <w:proofErr w:type="spellEnd"/>
      <w:r w:rsidRPr="00793ED7">
        <w:rPr>
          <w:rFonts w:ascii="Times New Roman" w:hAnsi="Times New Roman" w:cs="Times New Roman"/>
          <w:sz w:val="20"/>
          <w:szCs w:val="20"/>
        </w:rPr>
        <w:t xml:space="preserve">::GFP + </w:t>
      </w:r>
      <w:r w:rsidRPr="00793ED7">
        <w:rPr>
          <w:rFonts w:ascii="Times New Roman" w:hAnsi="Times New Roman" w:cs="Times New Roman"/>
          <w:i/>
          <w:sz w:val="20"/>
          <w:szCs w:val="20"/>
        </w:rPr>
        <w:t>unc-119(+)],</w:t>
      </w:r>
      <w:r w:rsidRPr="00793ED7">
        <w:rPr>
          <w:rFonts w:ascii="Times New Roman" w:hAnsi="Times New Roman" w:cs="Times New Roman"/>
          <w:sz w:val="20"/>
          <w:szCs w:val="20"/>
        </w:rPr>
        <w:t xml:space="preserve"> which expresses GFP in hypodermal seam cells, upon control and </w:t>
      </w:r>
      <w:r w:rsidRPr="00793ED7">
        <w:rPr>
          <w:rFonts w:ascii="Times New Roman" w:hAnsi="Times New Roman" w:cs="Times New Roman"/>
          <w:i/>
          <w:sz w:val="20"/>
          <w:szCs w:val="20"/>
        </w:rPr>
        <w:t>prp-8(</w:t>
      </w:r>
      <w:proofErr w:type="spellStart"/>
      <w:r w:rsidRPr="00793ED7">
        <w:rPr>
          <w:rFonts w:ascii="Times New Roman" w:hAnsi="Times New Roman" w:cs="Times New Roman"/>
          <w:i/>
          <w:sz w:val="20"/>
          <w:szCs w:val="20"/>
        </w:rPr>
        <w:t>RNAi</w:t>
      </w:r>
      <w:proofErr w:type="spellEnd"/>
      <w:r w:rsidRPr="00793ED7">
        <w:rPr>
          <w:rFonts w:ascii="Times New Roman" w:hAnsi="Times New Roman" w:cs="Times New Roman"/>
          <w:i/>
          <w:sz w:val="20"/>
          <w:szCs w:val="20"/>
        </w:rPr>
        <w:t>)</w:t>
      </w:r>
      <w:r w:rsidRPr="00793ED7">
        <w:rPr>
          <w:rFonts w:ascii="Times New Roman" w:hAnsi="Times New Roman" w:cs="Times New Roman"/>
          <w:sz w:val="20"/>
          <w:szCs w:val="20"/>
        </w:rPr>
        <w:t xml:space="preserve"> conditions. Animals were studied under fluorescence microscopy 48 hours post L1 stage. </w:t>
      </w:r>
      <w:r>
        <w:rPr>
          <w:rFonts w:ascii="Times New Roman" w:hAnsi="Times New Roman" w:cs="Times New Roman"/>
          <w:sz w:val="20"/>
          <w:szCs w:val="20"/>
        </w:rPr>
        <w:t>(</w:t>
      </w:r>
      <w:r w:rsidRPr="00793ED7">
        <w:rPr>
          <w:rFonts w:ascii="Times New Roman" w:hAnsi="Times New Roman" w:cs="Times New Roman"/>
          <w:sz w:val="20"/>
          <w:szCs w:val="20"/>
        </w:rPr>
        <w:t>B</w:t>
      </w:r>
      <w:r>
        <w:rPr>
          <w:rFonts w:ascii="Times New Roman" w:hAnsi="Times New Roman" w:cs="Times New Roman"/>
          <w:sz w:val="20"/>
          <w:szCs w:val="20"/>
        </w:rPr>
        <w:t>)</w:t>
      </w:r>
      <w:r w:rsidRPr="00793ED7">
        <w:rPr>
          <w:rFonts w:ascii="Times New Roman" w:hAnsi="Times New Roman" w:cs="Times New Roman"/>
          <w:sz w:val="20"/>
          <w:szCs w:val="20"/>
        </w:rPr>
        <w:t xml:space="preserve">. Number of GFP-positive cells in control or </w:t>
      </w:r>
      <w:r w:rsidRPr="00793ED7">
        <w:rPr>
          <w:rFonts w:ascii="Times New Roman" w:hAnsi="Times New Roman" w:cs="Times New Roman"/>
          <w:i/>
          <w:sz w:val="20"/>
          <w:szCs w:val="20"/>
        </w:rPr>
        <w:t>prp-</w:t>
      </w:r>
      <w:proofErr w:type="gramStart"/>
      <w:r w:rsidRPr="00793ED7">
        <w:rPr>
          <w:rFonts w:ascii="Times New Roman" w:hAnsi="Times New Roman" w:cs="Times New Roman"/>
          <w:i/>
          <w:sz w:val="20"/>
          <w:szCs w:val="20"/>
        </w:rPr>
        <w:t>8(</w:t>
      </w:r>
      <w:proofErr w:type="spellStart"/>
      <w:proofErr w:type="gramEnd"/>
      <w:r w:rsidRPr="00793ED7">
        <w:rPr>
          <w:rFonts w:ascii="Times New Roman" w:hAnsi="Times New Roman" w:cs="Times New Roman"/>
          <w:i/>
          <w:sz w:val="20"/>
          <w:szCs w:val="20"/>
        </w:rPr>
        <w:t>RNAi</w:t>
      </w:r>
      <w:proofErr w:type="spellEnd"/>
      <w:r w:rsidRPr="00793ED7">
        <w:rPr>
          <w:rFonts w:ascii="Times New Roman" w:hAnsi="Times New Roman" w:cs="Times New Roman"/>
          <w:i/>
          <w:sz w:val="20"/>
          <w:szCs w:val="20"/>
        </w:rPr>
        <w:t xml:space="preserve">) </w:t>
      </w:r>
      <w:r w:rsidRPr="00793ED7">
        <w:rPr>
          <w:rFonts w:ascii="Times New Roman" w:hAnsi="Times New Roman" w:cs="Times New Roman"/>
          <w:sz w:val="20"/>
          <w:szCs w:val="20"/>
        </w:rPr>
        <w:t xml:space="preserve">worms is represented in a bar graph. The statistical test applied is a t-student </w:t>
      </w:r>
      <w:r w:rsidRPr="00793ED7">
        <w:rPr>
          <w:rFonts w:ascii="Times New Roman" w:hAnsi="Times New Roman" w:cs="Times New Roman"/>
          <w:sz w:val="20"/>
          <w:szCs w:val="20"/>
        </w:rPr>
        <w:lastRenderedPageBreak/>
        <w:t xml:space="preserve">test and asterisks represent p-value&lt;0.001. Error bars represent standard deviation. The data is obtained from three different biological replicates. For in each independent experiment 30 worms were scored. </w:t>
      </w:r>
    </w:p>
    <w:p w14:paraId="789A7386" w14:textId="77777777" w:rsidR="0062474F" w:rsidRPr="008E365C" w:rsidRDefault="0062474F" w:rsidP="0062474F">
      <w:pPr>
        <w:rPr>
          <w:rFonts w:ascii="Times New Roman" w:hAnsi="Times New Roman" w:cs="Times New Roman"/>
          <w:sz w:val="20"/>
          <w:szCs w:val="20"/>
        </w:rPr>
      </w:pPr>
    </w:p>
    <w:p w14:paraId="584EDA75" w14:textId="77777777" w:rsidR="0062474F" w:rsidRPr="008E365C" w:rsidRDefault="0062474F" w:rsidP="0062474F">
      <w:pPr>
        <w:jc w:val="both"/>
        <w:rPr>
          <w:rFonts w:ascii="Times New Roman" w:hAnsi="Times New Roman" w:cs="Times New Roman"/>
          <w:sz w:val="20"/>
          <w:szCs w:val="20"/>
        </w:rPr>
      </w:pPr>
      <w:r w:rsidRPr="00793ED7">
        <w:rPr>
          <w:rFonts w:ascii="Times New Roman" w:hAnsi="Times New Roman" w:cs="Times New Roman"/>
          <w:b/>
          <w:sz w:val="20"/>
          <w:szCs w:val="20"/>
        </w:rPr>
        <w:t xml:space="preserve">Figure S5. Larval arrest and </w:t>
      </w:r>
      <w:r w:rsidRPr="00793ED7">
        <w:rPr>
          <w:rFonts w:ascii="Times New Roman" w:hAnsi="Times New Roman" w:cs="Times New Roman"/>
          <w:b/>
          <w:i/>
          <w:sz w:val="20"/>
          <w:szCs w:val="20"/>
        </w:rPr>
        <w:t>egl-1</w:t>
      </w:r>
      <w:proofErr w:type="gramStart"/>
      <w:r w:rsidRPr="00793ED7">
        <w:rPr>
          <w:rFonts w:ascii="Times New Roman" w:hAnsi="Times New Roman" w:cs="Times New Roman"/>
          <w:b/>
          <w:sz w:val="20"/>
          <w:szCs w:val="20"/>
        </w:rPr>
        <w:t>::</w:t>
      </w:r>
      <w:proofErr w:type="gramEnd"/>
      <w:r w:rsidRPr="00793ED7">
        <w:rPr>
          <w:rFonts w:ascii="Times New Roman" w:hAnsi="Times New Roman" w:cs="Times New Roman"/>
          <w:b/>
          <w:sz w:val="20"/>
          <w:szCs w:val="20"/>
        </w:rPr>
        <w:t xml:space="preserve">GFP ectopic expression is observed after </w:t>
      </w:r>
      <w:proofErr w:type="spellStart"/>
      <w:r w:rsidRPr="00793ED7">
        <w:rPr>
          <w:rFonts w:ascii="Times New Roman" w:hAnsi="Times New Roman" w:cs="Times New Roman"/>
          <w:b/>
          <w:sz w:val="20"/>
          <w:szCs w:val="20"/>
        </w:rPr>
        <w:t>hydroxyurea</w:t>
      </w:r>
      <w:proofErr w:type="spellEnd"/>
      <w:r w:rsidRPr="00793ED7">
        <w:rPr>
          <w:rFonts w:ascii="Times New Roman" w:hAnsi="Times New Roman" w:cs="Times New Roman"/>
          <w:b/>
          <w:sz w:val="20"/>
          <w:szCs w:val="20"/>
        </w:rPr>
        <w:t xml:space="preserve"> treatment</w:t>
      </w:r>
      <w:r>
        <w:rPr>
          <w:rFonts w:ascii="Times New Roman" w:hAnsi="Times New Roman" w:cs="Times New Roman"/>
          <w:sz w:val="20"/>
          <w:szCs w:val="20"/>
        </w:rPr>
        <w:t xml:space="preserve">. Panels show </w:t>
      </w:r>
      <w:proofErr w:type="spellStart"/>
      <w:r>
        <w:rPr>
          <w:rFonts w:ascii="Times New Roman" w:hAnsi="Times New Roman" w:cs="Times New Roman"/>
          <w:sz w:val="20"/>
          <w:szCs w:val="20"/>
        </w:rPr>
        <w:t>Nomarski</w:t>
      </w:r>
      <w:proofErr w:type="spellEnd"/>
      <w:r>
        <w:rPr>
          <w:rFonts w:ascii="Times New Roman" w:hAnsi="Times New Roman" w:cs="Times New Roman"/>
          <w:sz w:val="20"/>
          <w:szCs w:val="20"/>
        </w:rPr>
        <w:t xml:space="preserve"> and fluorescence microscopy images of synchronized animals that were grown at 20°C either in NGM plates containing 25mM of </w:t>
      </w:r>
      <w:proofErr w:type="spellStart"/>
      <w:r>
        <w:rPr>
          <w:rFonts w:ascii="Times New Roman" w:hAnsi="Times New Roman" w:cs="Times New Roman"/>
          <w:sz w:val="20"/>
          <w:szCs w:val="20"/>
        </w:rPr>
        <w:t>hydroxyurea</w:t>
      </w:r>
      <w:proofErr w:type="spellEnd"/>
      <w:r>
        <w:rPr>
          <w:rFonts w:ascii="Times New Roman" w:hAnsi="Times New Roman" w:cs="Times New Roman"/>
          <w:sz w:val="20"/>
          <w:szCs w:val="20"/>
        </w:rPr>
        <w:t xml:space="preserve"> or normal NGM plates. Pictures were taken 24 and 48 hours post L1. Scale bar represents 100µm in all cases.</w:t>
      </w:r>
    </w:p>
    <w:p w14:paraId="641FA13B" w14:textId="77777777" w:rsidR="0062474F" w:rsidRDefault="0062474F" w:rsidP="0062474F">
      <w:pPr>
        <w:jc w:val="both"/>
        <w:rPr>
          <w:rFonts w:ascii="Times New Roman" w:hAnsi="Times New Roman" w:cs="Times New Roman"/>
          <w:sz w:val="20"/>
          <w:szCs w:val="20"/>
        </w:rPr>
      </w:pPr>
    </w:p>
    <w:sectPr w:rsidR="0062474F" w:rsidSect="00CB4E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4F"/>
    <w:rsid w:val="0062474F"/>
    <w:rsid w:val="00CB4E02"/>
    <w:rsid w:val="00EB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C23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4F"/>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4F"/>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3822</Characters>
  <Application>Microsoft Macintosh Word</Application>
  <DocSecurity>0</DocSecurity>
  <Lines>31</Lines>
  <Paragraphs>8</Paragraphs>
  <ScaleCrop>false</ScaleCrop>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Mulligan</cp:lastModifiedBy>
  <cp:revision>2</cp:revision>
  <dcterms:created xsi:type="dcterms:W3CDTF">2015-09-29T14:20:00Z</dcterms:created>
  <dcterms:modified xsi:type="dcterms:W3CDTF">2015-10-08T14:47:00Z</dcterms:modified>
</cp:coreProperties>
</file>