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5CD9" w:rsidRDefault="006A6458">
      <w:pPr>
        <w:rPr>
          <w:rFonts w:ascii="Calibri" w:hAnsi="Calibri"/>
          <w:b/>
          <w:sz w:val="22"/>
          <w:szCs w:val="22"/>
        </w:rPr>
      </w:pPr>
      <w:bookmarkStart w:id="0" w:name="_GoBack"/>
      <w:bookmarkEnd w:id="0"/>
      <w:r w:rsidRPr="006A6458">
        <w:rPr>
          <w:rFonts w:ascii="Calibri" w:hAnsi="Calibri"/>
          <w:b/>
          <w:sz w:val="22"/>
          <w:szCs w:val="22"/>
        </w:rPr>
        <w:t>SUPPLEMENTAL FIGURES</w:t>
      </w:r>
    </w:p>
    <w:p w:rsidR="006A6458" w:rsidRDefault="006A6458">
      <w:pPr>
        <w:rPr>
          <w:rFonts w:ascii="Calibri" w:hAnsi="Calibri"/>
          <w:b/>
          <w:sz w:val="22"/>
          <w:szCs w:val="22"/>
        </w:rPr>
      </w:pPr>
    </w:p>
    <w:p w:rsidR="006A6458" w:rsidRDefault="00905560" w:rsidP="006A6458">
      <w:pPr>
        <w:spacing w:line="480" w:lineRule="auto"/>
        <w:rPr>
          <w:rFonts w:ascii="Calibri" w:hAnsi="Calibri"/>
          <w:b/>
          <w:sz w:val="22"/>
          <w:szCs w:val="22"/>
        </w:rPr>
      </w:pPr>
      <w:r>
        <w:rPr>
          <w:rFonts w:ascii="Calibri" w:hAnsi="Calibri"/>
          <w:b/>
          <w:noProof/>
          <w:sz w:val="22"/>
          <w:szCs w:val="22"/>
        </w:rPr>
        <w:drawing>
          <wp:inline distT="0" distB="0" distL="0" distR="0">
            <wp:extent cx="5346192" cy="5385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_RNA_Figure S1.tif"/>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346192" cy="5385816"/>
                    </a:xfrm>
                    <a:prstGeom prst="rect">
                      <a:avLst/>
                    </a:prstGeom>
                  </pic:spPr>
                </pic:pic>
              </a:graphicData>
            </a:graphic>
          </wp:inline>
        </w:drawing>
      </w:r>
    </w:p>
    <w:p w:rsidR="006A6458" w:rsidRDefault="006A6458" w:rsidP="006A6458">
      <w:pPr>
        <w:spacing w:line="480" w:lineRule="auto"/>
        <w:rPr>
          <w:rFonts w:ascii="Calibri" w:hAnsi="Calibri"/>
          <w:b/>
          <w:sz w:val="22"/>
          <w:szCs w:val="22"/>
        </w:rPr>
      </w:pPr>
      <w:r>
        <w:rPr>
          <w:rFonts w:ascii="Calibri" w:hAnsi="Calibri"/>
          <w:b/>
          <w:sz w:val="22"/>
          <w:szCs w:val="22"/>
        </w:rPr>
        <w:t xml:space="preserve">Figure S1. </w:t>
      </w:r>
      <w:r w:rsidRPr="00152B50">
        <w:rPr>
          <w:rFonts w:ascii="Calibri" w:hAnsi="Calibri" w:cs="Calibri"/>
          <w:b/>
          <w:sz w:val="22"/>
          <w:szCs w:val="22"/>
        </w:rPr>
        <w:t>The correlation of the level of snatched sequences with that of the donor RNAs at 12 h.</w:t>
      </w:r>
      <w:r w:rsidRPr="00152B50">
        <w:rPr>
          <w:rFonts w:ascii="Calibri" w:hAnsi="Calibri" w:cs="Calibri"/>
          <w:sz w:val="22"/>
          <w:szCs w:val="22"/>
        </w:rPr>
        <w:t xml:space="preserve"> Y</w:t>
      </w:r>
      <w:r>
        <w:rPr>
          <w:rFonts w:ascii="Calibri" w:hAnsi="Calibri" w:cs="Calibri"/>
          <w:sz w:val="22"/>
          <w:szCs w:val="22"/>
        </w:rPr>
        <w:t>-</w:t>
      </w:r>
      <w:r w:rsidRPr="00152B50">
        <w:rPr>
          <w:rFonts w:ascii="Calibri" w:hAnsi="Calibri" w:cs="Calibri"/>
          <w:sz w:val="22"/>
          <w:szCs w:val="22"/>
        </w:rPr>
        <w:t>axis, the read number of snatched sequences, and X</w:t>
      </w:r>
      <w:r>
        <w:rPr>
          <w:rFonts w:ascii="Calibri" w:hAnsi="Calibri" w:cs="Calibri"/>
          <w:sz w:val="22"/>
          <w:szCs w:val="22"/>
        </w:rPr>
        <w:t>-</w:t>
      </w:r>
      <w:r w:rsidRPr="00152B50">
        <w:rPr>
          <w:rFonts w:ascii="Calibri" w:hAnsi="Calibri" w:cs="Calibri"/>
          <w:sz w:val="22"/>
          <w:szCs w:val="22"/>
        </w:rPr>
        <w:t>axis, the read number of the human donor RNAs.</w:t>
      </w:r>
      <w:r>
        <w:rPr>
          <w:rFonts w:ascii="Calibri" w:hAnsi="Calibri" w:cs="Calibri"/>
          <w:sz w:val="22"/>
          <w:szCs w:val="22"/>
        </w:rPr>
        <w:t xml:space="preserve"> </w:t>
      </w:r>
      <w:r w:rsidRPr="00152B50">
        <w:rPr>
          <w:rFonts w:ascii="Calibri" w:hAnsi="Calibri" w:cs="Calibri"/>
          <w:sz w:val="22"/>
          <w:szCs w:val="22"/>
        </w:rPr>
        <w:t xml:space="preserve">Green indicates snatched sequences matching non-protein coding regions, blue indicates sequences from </w:t>
      </w:r>
      <w:r>
        <w:rPr>
          <w:rFonts w:ascii="Calibri" w:hAnsi="Calibri" w:cs="Calibri"/>
          <w:sz w:val="22"/>
          <w:szCs w:val="22"/>
        </w:rPr>
        <w:t xml:space="preserve">protein </w:t>
      </w:r>
      <w:r w:rsidRPr="00152B50">
        <w:rPr>
          <w:rFonts w:ascii="Calibri" w:hAnsi="Calibri" w:cs="Calibri"/>
          <w:sz w:val="22"/>
          <w:szCs w:val="22"/>
        </w:rPr>
        <w:t xml:space="preserve">coding regions but not </w:t>
      </w:r>
      <w:r>
        <w:rPr>
          <w:rFonts w:ascii="Calibri" w:hAnsi="Calibri" w:cs="Calibri"/>
          <w:sz w:val="22"/>
          <w:szCs w:val="22"/>
        </w:rPr>
        <w:t>within</w:t>
      </w:r>
      <w:r w:rsidRPr="00152B50">
        <w:rPr>
          <w:rFonts w:ascii="Calibri" w:hAnsi="Calibri" w:cs="Calibri"/>
          <w:sz w:val="22"/>
          <w:szCs w:val="22"/>
        </w:rPr>
        <w:t xml:space="preserve"> known TSS</w:t>
      </w:r>
      <w:r>
        <w:rPr>
          <w:rFonts w:ascii="Calibri" w:hAnsi="Calibri" w:cs="Calibri"/>
          <w:sz w:val="22"/>
          <w:szCs w:val="22"/>
        </w:rPr>
        <w:t xml:space="preserve"> region</w:t>
      </w:r>
      <w:r w:rsidRPr="00152B50">
        <w:rPr>
          <w:rFonts w:ascii="Calibri" w:hAnsi="Calibri" w:cs="Calibri"/>
          <w:sz w:val="22"/>
          <w:szCs w:val="22"/>
        </w:rPr>
        <w:t xml:space="preserve">s, and red indicates snatched sequences in the -100 to +100 </w:t>
      </w:r>
      <w:r>
        <w:rPr>
          <w:rFonts w:ascii="Calibri" w:hAnsi="Calibri" w:cs="Calibri"/>
          <w:sz w:val="22"/>
          <w:szCs w:val="22"/>
        </w:rPr>
        <w:t>regions of the TSSs of protein coding genes.</w:t>
      </w:r>
    </w:p>
    <w:p w:rsidR="004C17D7" w:rsidRDefault="004C17D7">
      <w:pPr>
        <w:rPr>
          <w:rFonts w:ascii="Calibri" w:hAnsi="Calibri"/>
          <w:b/>
          <w:sz w:val="22"/>
          <w:szCs w:val="22"/>
        </w:rPr>
      </w:pPr>
      <w:r>
        <w:rPr>
          <w:rFonts w:ascii="Calibri" w:hAnsi="Calibri"/>
          <w:b/>
          <w:sz w:val="22"/>
          <w:szCs w:val="22"/>
        </w:rPr>
        <w:br w:type="page"/>
      </w:r>
    </w:p>
    <w:p w:rsidR="00905560" w:rsidRDefault="00905560" w:rsidP="006A6458">
      <w:pPr>
        <w:spacing w:line="480" w:lineRule="auto"/>
        <w:jc w:val="both"/>
        <w:rPr>
          <w:rFonts w:ascii="Calibri" w:hAnsi="Calibri"/>
          <w:b/>
          <w:sz w:val="22"/>
          <w:szCs w:val="22"/>
        </w:rPr>
      </w:pPr>
      <w:r>
        <w:rPr>
          <w:rFonts w:ascii="Calibri" w:hAnsi="Calibri"/>
          <w:b/>
          <w:noProof/>
          <w:sz w:val="22"/>
          <w:szCs w:val="22"/>
        </w:rPr>
        <w:lastRenderedPageBreak/>
        <w:drawing>
          <wp:inline distT="0" distB="0" distL="0" distR="0">
            <wp:extent cx="5943600" cy="1703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_RNA_Figure S2.t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1703070"/>
                    </a:xfrm>
                    <a:prstGeom prst="rect">
                      <a:avLst/>
                    </a:prstGeom>
                  </pic:spPr>
                </pic:pic>
              </a:graphicData>
            </a:graphic>
          </wp:inline>
        </w:drawing>
      </w:r>
    </w:p>
    <w:p w:rsidR="00905560" w:rsidRDefault="00905560" w:rsidP="006A6458">
      <w:pPr>
        <w:spacing w:line="480" w:lineRule="auto"/>
        <w:jc w:val="both"/>
        <w:rPr>
          <w:rFonts w:ascii="Calibri" w:hAnsi="Calibri"/>
          <w:b/>
          <w:sz w:val="22"/>
          <w:szCs w:val="22"/>
        </w:rPr>
      </w:pPr>
    </w:p>
    <w:p w:rsidR="006A6458" w:rsidRDefault="006A6458" w:rsidP="006A6458">
      <w:pPr>
        <w:spacing w:line="480" w:lineRule="auto"/>
        <w:jc w:val="both"/>
        <w:rPr>
          <w:rFonts w:ascii="Calibri" w:hAnsi="Calibri" w:cs="Arial"/>
          <w:sz w:val="22"/>
          <w:szCs w:val="22"/>
        </w:rPr>
      </w:pPr>
      <w:r>
        <w:rPr>
          <w:rFonts w:ascii="Calibri" w:hAnsi="Calibri"/>
          <w:b/>
          <w:sz w:val="22"/>
          <w:szCs w:val="22"/>
        </w:rPr>
        <w:t xml:space="preserve">Figure S2. </w:t>
      </w:r>
      <w:r w:rsidRPr="00472857">
        <w:rPr>
          <w:rFonts w:ascii="Calibri" w:hAnsi="Calibri" w:cs="Arial"/>
          <w:b/>
          <w:sz w:val="22"/>
          <w:szCs w:val="22"/>
        </w:rPr>
        <w:t xml:space="preserve">Correlation analyses of the 12 </w:t>
      </w:r>
      <w:r>
        <w:rPr>
          <w:rFonts w:ascii="Calibri" w:hAnsi="Calibri" w:cs="Arial"/>
          <w:b/>
          <w:sz w:val="22"/>
          <w:szCs w:val="22"/>
        </w:rPr>
        <w:t xml:space="preserve">h </w:t>
      </w:r>
      <w:r w:rsidRPr="00472857">
        <w:rPr>
          <w:rFonts w:ascii="Calibri" w:hAnsi="Calibri" w:cs="Arial"/>
          <w:b/>
          <w:sz w:val="22"/>
          <w:szCs w:val="22"/>
        </w:rPr>
        <w:t xml:space="preserve">and 24 </w:t>
      </w:r>
      <w:r>
        <w:rPr>
          <w:rFonts w:ascii="Calibri" w:hAnsi="Calibri" w:cs="Arial"/>
          <w:b/>
          <w:sz w:val="22"/>
          <w:szCs w:val="22"/>
        </w:rPr>
        <w:t xml:space="preserve">h </w:t>
      </w:r>
      <w:r w:rsidRPr="00472857">
        <w:rPr>
          <w:rFonts w:ascii="Calibri" w:hAnsi="Calibri" w:cs="Arial"/>
          <w:b/>
          <w:sz w:val="22"/>
          <w:szCs w:val="22"/>
        </w:rPr>
        <w:t>virus infected samples.</w:t>
      </w:r>
      <w:r w:rsidRPr="00472857">
        <w:rPr>
          <w:rFonts w:ascii="Calibri" w:hAnsi="Calibri" w:cs="Arial"/>
          <w:sz w:val="22"/>
          <w:szCs w:val="22"/>
        </w:rPr>
        <w:t xml:space="preserve"> </w:t>
      </w:r>
      <w:r>
        <w:rPr>
          <w:rFonts w:ascii="Calibri" w:hAnsi="Calibri" w:cs="Arial"/>
          <w:sz w:val="22"/>
          <w:szCs w:val="22"/>
        </w:rPr>
        <w:t>(</w:t>
      </w:r>
      <w:r w:rsidRPr="002D7ECC">
        <w:rPr>
          <w:rFonts w:ascii="Calibri" w:hAnsi="Calibri" w:cs="Arial"/>
          <w:b/>
          <w:sz w:val="22"/>
          <w:szCs w:val="22"/>
        </w:rPr>
        <w:t>A</w:t>
      </w:r>
      <w:r w:rsidRPr="00472857">
        <w:rPr>
          <w:rFonts w:ascii="Calibri" w:hAnsi="Calibri" w:cs="Arial"/>
          <w:sz w:val="22"/>
          <w:szCs w:val="22"/>
        </w:rPr>
        <w:t>) The expression levels of the top 100 host RNAs were compared with X representing 12</w:t>
      </w:r>
      <w:r>
        <w:rPr>
          <w:rFonts w:ascii="Calibri" w:hAnsi="Calibri" w:cs="Arial"/>
          <w:sz w:val="22"/>
          <w:szCs w:val="22"/>
        </w:rPr>
        <w:t xml:space="preserve"> </w:t>
      </w:r>
      <w:r w:rsidRPr="00472857">
        <w:rPr>
          <w:rFonts w:ascii="Calibri" w:hAnsi="Calibri" w:cs="Arial"/>
          <w:sz w:val="22"/>
          <w:szCs w:val="22"/>
        </w:rPr>
        <w:t>h infection and Y representing 24</w:t>
      </w:r>
      <w:r>
        <w:rPr>
          <w:rFonts w:ascii="Calibri" w:hAnsi="Calibri" w:cs="Arial"/>
          <w:sz w:val="22"/>
          <w:szCs w:val="22"/>
        </w:rPr>
        <w:t xml:space="preserve"> </w:t>
      </w:r>
      <w:r w:rsidRPr="00472857">
        <w:rPr>
          <w:rFonts w:ascii="Calibri" w:hAnsi="Calibri" w:cs="Arial"/>
          <w:sz w:val="22"/>
          <w:szCs w:val="22"/>
        </w:rPr>
        <w:t xml:space="preserve">h infection; </w:t>
      </w:r>
      <w:r>
        <w:rPr>
          <w:rFonts w:ascii="Calibri" w:hAnsi="Calibri" w:cs="Arial"/>
          <w:sz w:val="22"/>
          <w:szCs w:val="22"/>
        </w:rPr>
        <w:t>(</w:t>
      </w:r>
      <w:r w:rsidRPr="002D7ECC">
        <w:rPr>
          <w:rFonts w:ascii="Calibri" w:hAnsi="Calibri" w:cs="Arial"/>
          <w:b/>
          <w:sz w:val="22"/>
          <w:szCs w:val="22"/>
        </w:rPr>
        <w:t>B</w:t>
      </w:r>
      <w:r w:rsidRPr="00472857">
        <w:rPr>
          <w:rFonts w:ascii="Calibri" w:hAnsi="Calibri" w:cs="Arial"/>
          <w:sz w:val="22"/>
          <w:szCs w:val="22"/>
        </w:rPr>
        <w:t xml:space="preserve">) The levels of snatched caps from the top 100 host RNAs were compared; </w:t>
      </w:r>
      <w:r>
        <w:rPr>
          <w:rFonts w:ascii="Calibri" w:hAnsi="Calibri" w:cs="Arial"/>
          <w:sz w:val="22"/>
          <w:szCs w:val="22"/>
        </w:rPr>
        <w:t>(</w:t>
      </w:r>
      <w:r w:rsidRPr="002D7ECC">
        <w:rPr>
          <w:rFonts w:ascii="Calibri" w:hAnsi="Calibri" w:cs="Arial"/>
          <w:b/>
          <w:sz w:val="22"/>
          <w:szCs w:val="22"/>
        </w:rPr>
        <w:t>C</w:t>
      </w:r>
      <w:r w:rsidRPr="00472857">
        <w:rPr>
          <w:rFonts w:ascii="Calibri" w:hAnsi="Calibri" w:cs="Arial"/>
          <w:sz w:val="22"/>
          <w:szCs w:val="22"/>
        </w:rPr>
        <w:t>) the snatching rate (snatched/[snatched+host]) are compared. Non-parametric Spearman correlation was performed.</w:t>
      </w:r>
    </w:p>
    <w:p w:rsidR="006A6458" w:rsidRDefault="006A6458" w:rsidP="006A6458">
      <w:pPr>
        <w:tabs>
          <w:tab w:val="left" w:pos="720"/>
        </w:tabs>
        <w:spacing w:line="480" w:lineRule="auto"/>
        <w:jc w:val="both"/>
        <w:rPr>
          <w:rFonts w:ascii="Calibri" w:hAnsi="Calibri" w:cs="Calibri"/>
          <w:sz w:val="22"/>
          <w:szCs w:val="22"/>
        </w:rPr>
      </w:pPr>
      <w:r w:rsidRPr="001139FC">
        <w:rPr>
          <w:rFonts w:ascii="Calibri" w:hAnsi="Calibri" w:cs="Calibri"/>
          <w:sz w:val="22"/>
          <w:szCs w:val="22"/>
        </w:rPr>
        <w:t>Note: Although the overall target preference between the 24 h and 12 h infected samples</w:t>
      </w:r>
      <w:r>
        <w:rPr>
          <w:rFonts w:ascii="Calibri" w:hAnsi="Calibri" w:cs="Calibri"/>
          <w:sz w:val="22"/>
          <w:szCs w:val="22"/>
        </w:rPr>
        <w:t xml:space="preserve"> from the two independent experiments</w:t>
      </w:r>
      <w:r w:rsidRPr="001139FC">
        <w:rPr>
          <w:rFonts w:ascii="Calibri" w:hAnsi="Calibri" w:cs="Calibri"/>
          <w:sz w:val="22"/>
          <w:szCs w:val="22"/>
        </w:rPr>
        <w:t xml:space="preserve"> is very similar, the rate for individual targets varies between samples. This was mostly caused by variations of donor RNA reads between samples, such as U1 and U2 snRNA read number. We speculate that the low ligation rate and high PCR number (~28 cycles</w:t>
      </w:r>
      <w:r>
        <w:rPr>
          <w:rFonts w:ascii="Calibri" w:hAnsi="Calibri" w:cs="Calibri"/>
          <w:sz w:val="22"/>
          <w:szCs w:val="22"/>
        </w:rPr>
        <w:t xml:space="preserve"> total</w:t>
      </w:r>
      <w:r w:rsidRPr="001139FC">
        <w:rPr>
          <w:rFonts w:ascii="Calibri" w:hAnsi="Calibri" w:cs="Calibri"/>
          <w:sz w:val="22"/>
          <w:szCs w:val="22"/>
        </w:rPr>
        <w:t xml:space="preserve">) may contribute to such variations since: 1) we used very little material, usually 1-2 </w:t>
      </w:r>
      <w:r w:rsidRPr="001139FC">
        <w:rPr>
          <w:rFonts w:ascii="Calibri" w:hAnsi="Calibri" w:cs="Calibri"/>
          <w:sz w:val="22"/>
          <w:szCs w:val="22"/>
        </w:rPr>
        <w:sym w:font="Symbol" w:char="F06D"/>
      </w:r>
      <w:r w:rsidRPr="001139FC">
        <w:rPr>
          <w:rFonts w:ascii="Calibri" w:hAnsi="Calibri" w:cs="Calibri"/>
          <w:sz w:val="22"/>
          <w:szCs w:val="22"/>
        </w:rPr>
        <w:t xml:space="preserve">g of total RNAs, and only cloned the 5' ends of RNAs, meaning that each RNA </w:t>
      </w:r>
      <w:r>
        <w:rPr>
          <w:rFonts w:ascii="Calibri" w:hAnsi="Calibri" w:cs="Calibri"/>
          <w:sz w:val="22"/>
          <w:szCs w:val="22"/>
        </w:rPr>
        <w:t xml:space="preserve">molecule </w:t>
      </w:r>
      <w:r w:rsidRPr="001139FC">
        <w:rPr>
          <w:rFonts w:ascii="Calibri" w:hAnsi="Calibri" w:cs="Calibri"/>
          <w:sz w:val="22"/>
          <w:szCs w:val="22"/>
        </w:rPr>
        <w:t xml:space="preserve">was only cloned once regardless of its size. In contrast, each RNA could be cloned into 10-20 smaller pieces in general RNA-Seq; and 2) in CapSeq we ligate a 5' linker to full-size RNAs, thus possibly </w:t>
      </w:r>
      <w:r>
        <w:rPr>
          <w:rFonts w:ascii="Calibri" w:hAnsi="Calibri" w:cs="Calibri"/>
          <w:sz w:val="22"/>
          <w:szCs w:val="22"/>
        </w:rPr>
        <w:t>resulting in</w:t>
      </w:r>
      <w:r w:rsidRPr="001139FC">
        <w:rPr>
          <w:rFonts w:ascii="Calibri" w:hAnsi="Calibri" w:cs="Calibri"/>
          <w:sz w:val="22"/>
          <w:szCs w:val="22"/>
        </w:rPr>
        <w:t xml:space="preserve"> a</w:t>
      </w:r>
      <w:r>
        <w:rPr>
          <w:rFonts w:ascii="Calibri" w:hAnsi="Calibri" w:cs="Calibri"/>
          <w:sz w:val="22"/>
          <w:szCs w:val="22"/>
        </w:rPr>
        <w:t xml:space="preserve"> </w:t>
      </w:r>
      <w:r w:rsidRPr="001139FC">
        <w:rPr>
          <w:rFonts w:ascii="Calibri" w:hAnsi="Calibri" w:cs="Calibri"/>
          <w:sz w:val="22"/>
          <w:szCs w:val="22"/>
        </w:rPr>
        <w:t xml:space="preserve">low ligation efficiency </w:t>
      </w:r>
      <w:r>
        <w:rPr>
          <w:rFonts w:ascii="Calibri" w:hAnsi="Calibri" w:cs="Calibri"/>
          <w:sz w:val="22"/>
          <w:szCs w:val="22"/>
        </w:rPr>
        <w:t xml:space="preserve">for certain RNAs </w:t>
      </w:r>
      <w:r w:rsidRPr="001139FC">
        <w:rPr>
          <w:rFonts w:ascii="Calibri" w:hAnsi="Calibri" w:cs="Calibri"/>
          <w:sz w:val="22"/>
          <w:szCs w:val="22"/>
        </w:rPr>
        <w:t>due to RNA secondary structures. Despite these variations, we observed very significant correlations between host RNA levels across samples, especially between different non-infected control samples (data not shown). Nonetheless, if we compare overall capped snRNAs/snoRNAs with overall mRNAs, rather than just individuals, we observed consistently higher rates for snRNAs and snoRNAs</w:t>
      </w:r>
      <w:r>
        <w:rPr>
          <w:rFonts w:ascii="Calibri" w:hAnsi="Calibri" w:cs="Calibri"/>
          <w:sz w:val="22"/>
          <w:szCs w:val="22"/>
        </w:rPr>
        <w:t xml:space="preserve"> (P &lt;0.001 and 0.0001 for 12 h and 24 h infected samples respectively).</w:t>
      </w:r>
    </w:p>
    <w:p w:rsidR="004C17D7" w:rsidRDefault="004C17D7">
      <w:pPr>
        <w:rPr>
          <w:rFonts w:ascii="Calibri" w:hAnsi="Calibri" w:cs="Calibri"/>
          <w:sz w:val="22"/>
          <w:szCs w:val="22"/>
        </w:rPr>
      </w:pPr>
      <w:r>
        <w:rPr>
          <w:rFonts w:ascii="Calibri" w:hAnsi="Calibri" w:cs="Calibri"/>
          <w:sz w:val="22"/>
          <w:szCs w:val="22"/>
        </w:rPr>
        <w:br w:type="page"/>
      </w:r>
    </w:p>
    <w:p w:rsidR="00852483" w:rsidRPr="00EB337D" w:rsidRDefault="00852483" w:rsidP="00852483">
      <w:pPr>
        <w:tabs>
          <w:tab w:val="left" w:pos="8010"/>
        </w:tabs>
        <w:spacing w:line="480" w:lineRule="auto"/>
        <w:jc w:val="both"/>
        <w:rPr>
          <w:rFonts w:ascii="Calibri" w:hAnsi="Calibri"/>
          <w:b/>
          <w:sz w:val="22"/>
        </w:rPr>
      </w:pPr>
      <w:r>
        <w:rPr>
          <w:rFonts w:ascii="Calibri" w:hAnsi="Calibri"/>
          <w:b/>
          <w:noProof/>
          <w:sz w:val="22"/>
          <w:szCs w:val="22"/>
        </w:rPr>
        <w:lastRenderedPageBreak/>
        <w:drawing>
          <wp:inline distT="0" distB="0" distL="0" distR="0">
            <wp:extent cx="5900928" cy="4770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_RNA_Figure S3.ti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00928" cy="4770120"/>
                    </a:xfrm>
                    <a:prstGeom prst="rect">
                      <a:avLst/>
                    </a:prstGeom>
                  </pic:spPr>
                </pic:pic>
              </a:graphicData>
            </a:graphic>
          </wp:inline>
        </w:drawing>
      </w:r>
      <w:r>
        <w:rPr>
          <w:rFonts w:ascii="Calibri" w:hAnsi="Calibri"/>
          <w:b/>
          <w:sz w:val="22"/>
          <w:szCs w:val="22"/>
        </w:rPr>
        <w:t xml:space="preserve">Figure S3. </w:t>
      </w:r>
      <w:r w:rsidRPr="00121936">
        <w:rPr>
          <w:rFonts w:ascii="Calibri" w:hAnsi="Calibri" w:cs="Arial"/>
          <w:b/>
          <w:sz w:val="22"/>
          <w:szCs w:val="22"/>
        </w:rPr>
        <w:t>Correlation between levels of top 100 host anti-sense csRNA</w:t>
      </w:r>
      <w:r>
        <w:rPr>
          <w:rFonts w:ascii="Calibri" w:hAnsi="Calibri" w:cs="Arial"/>
          <w:b/>
          <w:sz w:val="22"/>
          <w:szCs w:val="22"/>
        </w:rPr>
        <w:t>s</w:t>
      </w:r>
      <w:r w:rsidRPr="00121936">
        <w:rPr>
          <w:rFonts w:ascii="Calibri" w:hAnsi="Calibri" w:cs="Arial"/>
          <w:b/>
          <w:sz w:val="22"/>
          <w:szCs w:val="22"/>
        </w:rPr>
        <w:t xml:space="preserve"> and caps snatched by </w:t>
      </w:r>
      <w:r>
        <w:rPr>
          <w:rFonts w:ascii="Calibri" w:hAnsi="Calibri" w:cs="Arial"/>
          <w:b/>
          <w:sz w:val="22"/>
          <w:szCs w:val="22"/>
        </w:rPr>
        <w:t>IAV</w:t>
      </w:r>
      <w:r w:rsidRPr="00121936">
        <w:rPr>
          <w:rFonts w:ascii="Calibri" w:hAnsi="Calibri" w:cs="Arial"/>
          <w:b/>
          <w:sz w:val="22"/>
          <w:szCs w:val="22"/>
        </w:rPr>
        <w:t>.</w:t>
      </w:r>
    </w:p>
    <w:p w:rsidR="004C17D7" w:rsidRDefault="004C17D7">
      <w:pPr>
        <w:rPr>
          <w:rFonts w:ascii="Calibri" w:hAnsi="Calibri" w:cs="Calibri"/>
          <w:sz w:val="22"/>
          <w:szCs w:val="22"/>
        </w:rPr>
      </w:pPr>
      <w:r>
        <w:rPr>
          <w:rFonts w:ascii="Calibri" w:hAnsi="Calibri" w:cs="Calibri"/>
          <w:sz w:val="22"/>
          <w:szCs w:val="22"/>
        </w:rPr>
        <w:br w:type="page"/>
      </w:r>
    </w:p>
    <w:p w:rsidR="006A6458" w:rsidRPr="00E609D7" w:rsidRDefault="00852483" w:rsidP="006A6458">
      <w:pPr>
        <w:tabs>
          <w:tab w:val="left" w:pos="720"/>
        </w:tabs>
        <w:spacing w:before="120" w:line="480" w:lineRule="auto"/>
        <w:jc w:val="both"/>
        <w:rPr>
          <w:rFonts w:ascii="Calibri" w:hAnsi="Calibri" w:cs="Arial"/>
          <w:sz w:val="22"/>
          <w:szCs w:val="22"/>
        </w:rPr>
      </w:pPr>
      <w:r>
        <w:rPr>
          <w:rFonts w:ascii="Calibri" w:hAnsi="Calibri"/>
          <w:b/>
          <w:noProof/>
          <w:sz w:val="22"/>
          <w:szCs w:val="22"/>
        </w:rPr>
        <w:lastRenderedPageBreak/>
        <w:drawing>
          <wp:inline distT="0" distB="0" distL="0" distR="0">
            <wp:extent cx="5943600" cy="193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_RNA_Figure S4.ti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943600" cy="1933575"/>
                    </a:xfrm>
                    <a:prstGeom prst="rect">
                      <a:avLst/>
                    </a:prstGeom>
                  </pic:spPr>
                </pic:pic>
              </a:graphicData>
            </a:graphic>
          </wp:inline>
        </w:drawing>
      </w:r>
      <w:r>
        <w:rPr>
          <w:rFonts w:ascii="Calibri" w:hAnsi="Calibri"/>
          <w:b/>
          <w:sz w:val="22"/>
          <w:szCs w:val="22"/>
        </w:rPr>
        <w:t>Figure S4</w:t>
      </w:r>
      <w:r w:rsidR="006A6458">
        <w:rPr>
          <w:rFonts w:ascii="Calibri" w:hAnsi="Calibri"/>
          <w:b/>
          <w:sz w:val="22"/>
          <w:szCs w:val="22"/>
        </w:rPr>
        <w:t xml:space="preserve">. </w:t>
      </w:r>
      <w:r w:rsidR="006A6458" w:rsidRPr="00DD2DA4">
        <w:rPr>
          <w:rFonts w:ascii="Calibri" w:hAnsi="Calibri" w:cs="Arial"/>
          <w:b/>
          <w:sz w:val="22"/>
          <w:szCs w:val="22"/>
        </w:rPr>
        <w:t>Correlation of snatched caps on different viral mRNAs.</w:t>
      </w:r>
      <w:r w:rsidR="006A6458">
        <w:rPr>
          <w:rFonts w:ascii="Calibri" w:hAnsi="Calibri" w:cs="Arial"/>
          <w:b/>
          <w:sz w:val="22"/>
          <w:szCs w:val="22"/>
        </w:rPr>
        <w:t xml:space="preserve"> </w:t>
      </w:r>
      <w:r w:rsidR="006A6458" w:rsidRPr="00DD2DA4">
        <w:rPr>
          <w:rFonts w:ascii="Calibri" w:hAnsi="Calibri" w:cs="Arial"/>
          <w:sz w:val="22"/>
          <w:szCs w:val="22"/>
        </w:rPr>
        <w:t>The top 100 most frequently snatched caps were compared between different viral mRNAs.</w:t>
      </w:r>
    </w:p>
    <w:p w:rsidR="006A6458" w:rsidRPr="006A6458" w:rsidRDefault="006A6458">
      <w:pPr>
        <w:rPr>
          <w:rFonts w:ascii="Calibri" w:hAnsi="Calibri"/>
          <w:b/>
          <w:sz w:val="22"/>
          <w:szCs w:val="22"/>
        </w:rPr>
      </w:pPr>
    </w:p>
    <w:sectPr w:rsidR="006A6458" w:rsidRPr="006A6458" w:rsidSect="00E06EEF">
      <w:footerReference w:type="even" r:id="rId11"/>
      <w:footerReference w:type="default" r:id="rId12"/>
      <w:pgSz w:w="12240" w:h="15840"/>
      <w:pgMar w:top="1080" w:right="1440" w:bottom="108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999" w:rsidRDefault="00EF1999" w:rsidP="006043F4">
      <w:r>
        <w:separator/>
      </w:r>
    </w:p>
  </w:endnote>
  <w:endnote w:type="continuationSeparator" w:id="0">
    <w:p w:rsidR="00EF1999" w:rsidRDefault="00EF1999" w:rsidP="006043F4">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3F4" w:rsidRDefault="00E4461A" w:rsidP="00005C63">
    <w:pPr>
      <w:pStyle w:val="Footer"/>
      <w:framePr w:wrap="around" w:vAnchor="text" w:hAnchor="margin" w:xAlign="right" w:y="1"/>
      <w:rPr>
        <w:rStyle w:val="PageNumber"/>
      </w:rPr>
    </w:pPr>
    <w:r>
      <w:rPr>
        <w:rStyle w:val="PageNumber"/>
      </w:rPr>
      <w:fldChar w:fldCharType="begin"/>
    </w:r>
    <w:r w:rsidR="006043F4">
      <w:rPr>
        <w:rStyle w:val="PageNumber"/>
      </w:rPr>
      <w:instrText xml:space="preserve">PAGE  </w:instrText>
    </w:r>
    <w:r>
      <w:rPr>
        <w:rStyle w:val="PageNumber"/>
      </w:rPr>
      <w:fldChar w:fldCharType="end"/>
    </w:r>
  </w:p>
  <w:p w:rsidR="006043F4" w:rsidRDefault="006043F4" w:rsidP="006043F4">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3F4" w:rsidRPr="006043F4" w:rsidRDefault="00E4461A" w:rsidP="00005C63">
    <w:pPr>
      <w:pStyle w:val="Footer"/>
      <w:framePr w:wrap="around" w:vAnchor="text" w:hAnchor="margin" w:xAlign="right" w:y="1"/>
      <w:rPr>
        <w:rStyle w:val="PageNumber"/>
        <w:rFonts w:ascii="Times New Roman" w:hAnsi="Times New Roman" w:cs="Times New Roman"/>
        <w:sz w:val="20"/>
        <w:szCs w:val="20"/>
      </w:rPr>
    </w:pPr>
    <w:r w:rsidRPr="006043F4">
      <w:rPr>
        <w:rStyle w:val="PageNumber"/>
        <w:rFonts w:ascii="Times New Roman" w:hAnsi="Times New Roman" w:cs="Times New Roman"/>
        <w:sz w:val="20"/>
        <w:szCs w:val="20"/>
      </w:rPr>
      <w:fldChar w:fldCharType="begin"/>
    </w:r>
    <w:r w:rsidR="006043F4" w:rsidRPr="006043F4">
      <w:rPr>
        <w:rStyle w:val="PageNumber"/>
        <w:rFonts w:ascii="Times New Roman" w:hAnsi="Times New Roman" w:cs="Times New Roman"/>
        <w:sz w:val="20"/>
        <w:szCs w:val="20"/>
      </w:rPr>
      <w:instrText xml:space="preserve">PAGE  </w:instrText>
    </w:r>
    <w:r w:rsidRPr="006043F4">
      <w:rPr>
        <w:rStyle w:val="PageNumber"/>
        <w:rFonts w:ascii="Times New Roman" w:hAnsi="Times New Roman" w:cs="Times New Roman"/>
        <w:sz w:val="20"/>
        <w:szCs w:val="20"/>
      </w:rPr>
      <w:fldChar w:fldCharType="separate"/>
    </w:r>
    <w:r w:rsidR="00C5296E">
      <w:rPr>
        <w:rStyle w:val="PageNumber"/>
        <w:rFonts w:ascii="Times New Roman" w:hAnsi="Times New Roman" w:cs="Times New Roman"/>
        <w:noProof/>
        <w:sz w:val="20"/>
        <w:szCs w:val="20"/>
      </w:rPr>
      <w:t>1</w:t>
    </w:r>
    <w:r w:rsidRPr="006043F4">
      <w:rPr>
        <w:rStyle w:val="PageNumber"/>
        <w:rFonts w:ascii="Times New Roman" w:hAnsi="Times New Roman" w:cs="Times New Roman"/>
        <w:sz w:val="20"/>
        <w:szCs w:val="20"/>
      </w:rPr>
      <w:fldChar w:fldCharType="end"/>
    </w:r>
  </w:p>
  <w:p w:rsidR="006043F4" w:rsidRPr="006043F4" w:rsidRDefault="006043F4" w:rsidP="006043F4">
    <w:pPr>
      <w:pStyle w:val="Footer"/>
      <w:ind w:right="360"/>
      <w:rPr>
        <w:rFonts w:ascii="Times New Roman" w:hAnsi="Times New Roman" w:cs="Times New Roman"/>
        <w:sz w:val="20"/>
        <w:szCs w:val="20"/>
      </w:rPr>
    </w:pPr>
    <w:r w:rsidRPr="006043F4">
      <w:rPr>
        <w:rFonts w:ascii="Times New Roman" w:hAnsi="Times New Roman" w:cs="Times New Roman"/>
        <w:sz w:val="20"/>
        <w:szCs w:val="20"/>
      </w:rPr>
      <w:t>Weifeng Gu</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999" w:rsidRDefault="00EF1999" w:rsidP="006043F4">
      <w:r>
        <w:separator/>
      </w:r>
    </w:p>
  </w:footnote>
  <w:footnote w:type="continuationSeparator" w:id="0">
    <w:p w:rsidR="00EF1999" w:rsidRDefault="00EF1999" w:rsidP="006043F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trackRevisions/>
  <w:defaultTabStop w:val="720"/>
  <w:characterSpacingControl w:val="doNotCompress"/>
  <w:footnotePr>
    <w:footnote w:id="-1"/>
    <w:footnote w:id="0"/>
  </w:footnotePr>
  <w:endnotePr>
    <w:endnote w:id="-1"/>
    <w:endnote w:id="0"/>
  </w:endnotePr>
  <w:compat>
    <w:useFELayout/>
  </w:compat>
  <w:rsids>
    <w:rsidRoot w:val="00503377"/>
    <w:rsid w:val="00051AF4"/>
    <w:rsid w:val="001D5CD9"/>
    <w:rsid w:val="004C17D7"/>
    <w:rsid w:val="00503377"/>
    <w:rsid w:val="006043F4"/>
    <w:rsid w:val="006A6458"/>
    <w:rsid w:val="00804742"/>
    <w:rsid w:val="00852483"/>
    <w:rsid w:val="008F4660"/>
    <w:rsid w:val="00905560"/>
    <w:rsid w:val="00A479EC"/>
    <w:rsid w:val="00A770D9"/>
    <w:rsid w:val="00C5296E"/>
    <w:rsid w:val="00D74964"/>
    <w:rsid w:val="00E06EEF"/>
    <w:rsid w:val="00E4461A"/>
    <w:rsid w:val="00EF19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46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770D9"/>
  </w:style>
  <w:style w:type="paragraph" w:styleId="BalloonText">
    <w:name w:val="Balloon Text"/>
    <w:basedOn w:val="Normal"/>
    <w:link w:val="BalloonTextChar"/>
    <w:uiPriority w:val="99"/>
    <w:semiHidden/>
    <w:unhideWhenUsed/>
    <w:rsid w:val="006A64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458"/>
    <w:rPr>
      <w:rFonts w:ascii="Lucida Grande" w:hAnsi="Lucida Grande" w:cs="Lucida Grande"/>
      <w:sz w:val="18"/>
      <w:szCs w:val="18"/>
    </w:rPr>
  </w:style>
  <w:style w:type="paragraph" w:styleId="Footer">
    <w:name w:val="footer"/>
    <w:basedOn w:val="Normal"/>
    <w:link w:val="FooterChar"/>
    <w:uiPriority w:val="99"/>
    <w:unhideWhenUsed/>
    <w:rsid w:val="006043F4"/>
    <w:pPr>
      <w:tabs>
        <w:tab w:val="center" w:pos="4320"/>
        <w:tab w:val="right" w:pos="8640"/>
      </w:tabs>
    </w:pPr>
  </w:style>
  <w:style w:type="character" w:customStyle="1" w:styleId="FooterChar">
    <w:name w:val="Footer Char"/>
    <w:basedOn w:val="DefaultParagraphFont"/>
    <w:link w:val="Footer"/>
    <w:uiPriority w:val="99"/>
    <w:rsid w:val="006043F4"/>
  </w:style>
  <w:style w:type="character" w:styleId="PageNumber">
    <w:name w:val="page number"/>
    <w:basedOn w:val="DefaultParagraphFont"/>
    <w:uiPriority w:val="99"/>
    <w:semiHidden/>
    <w:unhideWhenUsed/>
    <w:rsid w:val="006043F4"/>
  </w:style>
  <w:style w:type="paragraph" w:styleId="Header">
    <w:name w:val="header"/>
    <w:basedOn w:val="Normal"/>
    <w:link w:val="HeaderChar"/>
    <w:uiPriority w:val="99"/>
    <w:unhideWhenUsed/>
    <w:rsid w:val="006043F4"/>
    <w:pPr>
      <w:tabs>
        <w:tab w:val="center" w:pos="4320"/>
        <w:tab w:val="right" w:pos="8640"/>
      </w:tabs>
    </w:pPr>
  </w:style>
  <w:style w:type="character" w:customStyle="1" w:styleId="HeaderChar">
    <w:name w:val="Header Char"/>
    <w:basedOn w:val="DefaultParagraphFont"/>
    <w:link w:val="Header"/>
    <w:uiPriority w:val="99"/>
    <w:rsid w:val="006043F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A770D9"/>
  </w:style>
  <w:style w:type="paragraph" w:styleId="BalloonText">
    <w:name w:val="Balloon Text"/>
    <w:basedOn w:val="Normal"/>
    <w:link w:val="BalloonTextChar"/>
    <w:uiPriority w:val="99"/>
    <w:semiHidden/>
    <w:unhideWhenUsed/>
    <w:rsid w:val="006A645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458"/>
    <w:rPr>
      <w:rFonts w:ascii="Lucida Grande" w:hAnsi="Lucida Grande" w:cs="Lucida Grande"/>
      <w:sz w:val="18"/>
      <w:szCs w:val="18"/>
    </w:rPr>
  </w:style>
  <w:style w:type="paragraph" w:styleId="Footer">
    <w:name w:val="footer"/>
    <w:basedOn w:val="Normal"/>
    <w:link w:val="FooterChar"/>
    <w:uiPriority w:val="99"/>
    <w:unhideWhenUsed/>
    <w:rsid w:val="006043F4"/>
    <w:pPr>
      <w:tabs>
        <w:tab w:val="center" w:pos="4320"/>
        <w:tab w:val="right" w:pos="8640"/>
      </w:tabs>
    </w:pPr>
  </w:style>
  <w:style w:type="character" w:customStyle="1" w:styleId="FooterChar">
    <w:name w:val="Footer Char"/>
    <w:basedOn w:val="DefaultParagraphFont"/>
    <w:link w:val="Footer"/>
    <w:uiPriority w:val="99"/>
    <w:rsid w:val="006043F4"/>
  </w:style>
  <w:style w:type="character" w:styleId="PageNumber">
    <w:name w:val="page number"/>
    <w:basedOn w:val="DefaultParagraphFont"/>
    <w:uiPriority w:val="99"/>
    <w:semiHidden/>
    <w:unhideWhenUsed/>
    <w:rsid w:val="006043F4"/>
  </w:style>
  <w:style w:type="paragraph" w:styleId="Header">
    <w:name w:val="header"/>
    <w:basedOn w:val="Normal"/>
    <w:link w:val="HeaderChar"/>
    <w:uiPriority w:val="99"/>
    <w:unhideWhenUsed/>
    <w:rsid w:val="006043F4"/>
    <w:pPr>
      <w:tabs>
        <w:tab w:val="center" w:pos="4320"/>
        <w:tab w:val="right" w:pos="8640"/>
      </w:tabs>
    </w:pPr>
  </w:style>
  <w:style w:type="character" w:customStyle="1" w:styleId="HeaderChar">
    <w:name w:val="Header Char"/>
    <w:basedOn w:val="DefaultParagraphFont"/>
    <w:link w:val="Header"/>
    <w:uiPriority w:val="99"/>
    <w:rsid w:val="006043F4"/>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940CD-ED3D-4380-9483-79034630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361</Words>
  <Characters>2059</Characters>
  <Application>Microsoft Office Word</Application>
  <DocSecurity>0</DocSecurity>
  <Lines>17</Lines>
  <Paragraphs>4</Paragraphs>
  <ScaleCrop>false</ScaleCrop>
  <Company/>
  <LinksUpToDate>false</LinksUpToDate>
  <CharactersWithSpaces>2416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Trombly</dc:creator>
  <cp:keywords/>
  <dc:description/>
  <cp:lastModifiedBy>wgv3</cp:lastModifiedBy>
  <cp:revision>6</cp:revision>
  <dcterms:created xsi:type="dcterms:W3CDTF">2015-08-24T12:29:00Z</dcterms:created>
  <dcterms:modified xsi:type="dcterms:W3CDTF">2015-08-24T20:47:00Z</dcterms:modified>
</cp:coreProperties>
</file>