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C43" w:rsidRDefault="00716C43" w:rsidP="00716C43">
      <w:pPr>
        <w:spacing w:line="360" w:lineRule="auto"/>
        <w:jc w:val="both"/>
        <w:rPr>
          <w:szCs w:val="22"/>
        </w:rPr>
      </w:pPr>
      <w:r w:rsidRPr="00283869">
        <w:rPr>
          <w:b/>
          <w:szCs w:val="22"/>
        </w:rPr>
        <w:t xml:space="preserve">Fig. S1: A. </w:t>
      </w:r>
      <w:r w:rsidRPr="00283869">
        <w:rPr>
          <w:szCs w:val="22"/>
        </w:rPr>
        <w:t>Dot blot analysis using an anti-m</w:t>
      </w:r>
      <w:r w:rsidRPr="00283869">
        <w:rPr>
          <w:szCs w:val="22"/>
          <w:vertAlign w:val="superscript"/>
        </w:rPr>
        <w:t>6</w:t>
      </w:r>
      <w:r w:rsidRPr="00283869">
        <w:rPr>
          <w:szCs w:val="22"/>
        </w:rPr>
        <w:t xml:space="preserve">A antibody to probe RNA </w:t>
      </w:r>
      <w:proofErr w:type="spellStart"/>
      <w:r w:rsidRPr="00283869">
        <w:rPr>
          <w:szCs w:val="22"/>
        </w:rPr>
        <w:t>oligos</w:t>
      </w:r>
      <w:proofErr w:type="spellEnd"/>
      <w:r w:rsidRPr="00283869">
        <w:rPr>
          <w:szCs w:val="22"/>
        </w:rPr>
        <w:t xml:space="preserve"> without (left column) or with (right column) m</w:t>
      </w:r>
      <w:r w:rsidRPr="00283869">
        <w:rPr>
          <w:szCs w:val="22"/>
          <w:vertAlign w:val="superscript"/>
        </w:rPr>
        <w:t>6</w:t>
      </w:r>
      <w:r w:rsidRPr="00283869">
        <w:rPr>
          <w:szCs w:val="22"/>
        </w:rPr>
        <w:t>A.</w:t>
      </w:r>
      <w:r w:rsidRPr="00283869">
        <w:rPr>
          <w:b/>
          <w:szCs w:val="22"/>
        </w:rPr>
        <w:t xml:space="preserve">  B. </w:t>
      </w:r>
      <w:r>
        <w:rPr>
          <w:szCs w:val="22"/>
        </w:rPr>
        <w:t>Comparable d</w:t>
      </w:r>
      <w:r w:rsidRPr="00283869">
        <w:rPr>
          <w:szCs w:val="22"/>
        </w:rPr>
        <w:t xml:space="preserve">ot blot analysis </w:t>
      </w:r>
      <w:r>
        <w:rPr>
          <w:szCs w:val="22"/>
        </w:rPr>
        <w:t xml:space="preserve">designed </w:t>
      </w:r>
      <w:r w:rsidRPr="00283869">
        <w:rPr>
          <w:szCs w:val="22"/>
        </w:rPr>
        <w:t>to probe mixed A and m</w:t>
      </w:r>
      <w:r w:rsidRPr="00283869">
        <w:rPr>
          <w:szCs w:val="22"/>
          <w:vertAlign w:val="superscript"/>
        </w:rPr>
        <w:t>6</w:t>
      </w:r>
      <w:r w:rsidRPr="00283869">
        <w:rPr>
          <w:szCs w:val="22"/>
        </w:rPr>
        <w:t xml:space="preserve">A RNA </w:t>
      </w:r>
      <w:proofErr w:type="spellStart"/>
      <w:r w:rsidRPr="00283869">
        <w:rPr>
          <w:szCs w:val="22"/>
        </w:rPr>
        <w:t>oligos</w:t>
      </w:r>
      <w:proofErr w:type="spellEnd"/>
      <w:r w:rsidRPr="00283869">
        <w:rPr>
          <w:szCs w:val="22"/>
        </w:rPr>
        <w:t xml:space="preserve"> (left column). Right column: m</w:t>
      </w:r>
      <w:r w:rsidRPr="00283869">
        <w:rPr>
          <w:szCs w:val="22"/>
          <w:vertAlign w:val="superscript"/>
        </w:rPr>
        <w:t>6</w:t>
      </w:r>
      <w:r w:rsidRPr="00283869">
        <w:rPr>
          <w:szCs w:val="22"/>
        </w:rPr>
        <w:t>A standards.</w:t>
      </w:r>
    </w:p>
    <w:p w:rsidR="00716C43" w:rsidRDefault="00716C43" w:rsidP="00716C43">
      <w:pPr>
        <w:spacing w:line="360" w:lineRule="auto"/>
        <w:jc w:val="both"/>
        <w:rPr>
          <w:szCs w:val="22"/>
        </w:rPr>
      </w:pPr>
    </w:p>
    <w:p w:rsidR="00716C43" w:rsidRPr="00283869" w:rsidRDefault="00716C43" w:rsidP="00716C43">
      <w:pPr>
        <w:spacing w:line="360" w:lineRule="auto"/>
        <w:jc w:val="both"/>
        <w:rPr>
          <w:b/>
          <w:szCs w:val="22"/>
        </w:rPr>
      </w:pPr>
      <w:r w:rsidRPr="00B07D0B">
        <w:rPr>
          <w:b/>
          <w:szCs w:val="22"/>
        </w:rPr>
        <w:t xml:space="preserve">Fig. S2: </w:t>
      </w:r>
      <w:r w:rsidRPr="004D0277">
        <w:rPr>
          <w:szCs w:val="22"/>
        </w:rPr>
        <w:t xml:space="preserve">Sequence motifs identified within </w:t>
      </w:r>
      <w:r>
        <w:rPr>
          <w:szCs w:val="22"/>
        </w:rPr>
        <w:t>206 SPs</w:t>
      </w:r>
      <w:r w:rsidRPr="004D0277">
        <w:rPr>
          <w:szCs w:val="22"/>
        </w:rPr>
        <w:t>.</w:t>
      </w:r>
    </w:p>
    <w:p w:rsidR="00716C43" w:rsidRPr="00283869" w:rsidRDefault="00716C43" w:rsidP="00716C43">
      <w:pPr>
        <w:spacing w:line="360" w:lineRule="auto"/>
        <w:rPr>
          <w:szCs w:val="22"/>
        </w:rPr>
      </w:pPr>
    </w:p>
    <w:p w:rsidR="00716C43" w:rsidRPr="00283869" w:rsidRDefault="00716C43" w:rsidP="00716C43">
      <w:pPr>
        <w:spacing w:line="360" w:lineRule="auto"/>
        <w:rPr>
          <w:szCs w:val="22"/>
        </w:rPr>
      </w:pPr>
      <w:r w:rsidRPr="00283869">
        <w:rPr>
          <w:b/>
          <w:szCs w:val="22"/>
        </w:rPr>
        <w:t xml:space="preserve">Table S1. </w:t>
      </w:r>
      <w:proofErr w:type="gramStart"/>
      <w:r w:rsidRPr="00283869">
        <w:rPr>
          <w:b/>
          <w:szCs w:val="22"/>
        </w:rPr>
        <w:t>Detailed information relevant to pilot Agilent two-color tiling microarray.</w:t>
      </w:r>
      <w:proofErr w:type="gramEnd"/>
      <w:r w:rsidRPr="00283869">
        <w:rPr>
          <w:szCs w:val="22"/>
        </w:rPr>
        <w:t xml:space="preserve"> Included are 1) genomic locations or accession numbers of </w:t>
      </w:r>
      <w:proofErr w:type="spellStart"/>
      <w:r w:rsidRPr="00283869">
        <w:rPr>
          <w:szCs w:val="22"/>
        </w:rPr>
        <w:t>cDNAs</w:t>
      </w:r>
      <w:proofErr w:type="spellEnd"/>
      <w:r w:rsidRPr="00283869">
        <w:rPr>
          <w:szCs w:val="22"/>
        </w:rPr>
        <w:t xml:space="preserve"> used as templates for in vitro transcription of</w:t>
      </w:r>
      <w:r w:rsidRPr="00283869">
        <w:rPr>
          <w:b/>
          <w:szCs w:val="22"/>
        </w:rPr>
        <w:t xml:space="preserve"> </w:t>
      </w:r>
      <w:r w:rsidRPr="00283869">
        <w:rPr>
          <w:szCs w:val="22"/>
        </w:rPr>
        <w:t xml:space="preserve">8 RNAs, 2) tiling DNA probes at 5 </w:t>
      </w:r>
      <w:proofErr w:type="spellStart"/>
      <w:proofErr w:type="gramStart"/>
      <w:r w:rsidRPr="00283869">
        <w:rPr>
          <w:szCs w:val="22"/>
        </w:rPr>
        <w:t>nt</w:t>
      </w:r>
      <w:proofErr w:type="spellEnd"/>
      <w:proofErr w:type="gramEnd"/>
      <w:r w:rsidRPr="00283869">
        <w:rPr>
          <w:szCs w:val="22"/>
        </w:rPr>
        <w:t xml:space="preserve"> intervals complementary to RNA in GEO format, and 3) samples used for hybridization.</w:t>
      </w:r>
    </w:p>
    <w:p w:rsidR="00716C43" w:rsidRPr="00283869" w:rsidRDefault="00716C43" w:rsidP="00716C43">
      <w:pPr>
        <w:spacing w:line="360" w:lineRule="auto"/>
        <w:rPr>
          <w:szCs w:val="22"/>
        </w:rPr>
      </w:pPr>
    </w:p>
    <w:p w:rsidR="00716C43" w:rsidRPr="00283869" w:rsidRDefault="00716C43" w:rsidP="00716C43">
      <w:pPr>
        <w:spacing w:line="360" w:lineRule="auto"/>
        <w:rPr>
          <w:szCs w:val="22"/>
        </w:rPr>
      </w:pPr>
      <w:r w:rsidRPr="00283869">
        <w:rPr>
          <w:b/>
          <w:szCs w:val="22"/>
        </w:rPr>
        <w:t>Table S2.</w:t>
      </w:r>
      <w:r w:rsidRPr="00283869">
        <w:rPr>
          <w:szCs w:val="22"/>
        </w:rPr>
        <w:t xml:space="preserve"> </w:t>
      </w:r>
      <w:r w:rsidRPr="00283869">
        <w:rPr>
          <w:b/>
          <w:szCs w:val="22"/>
        </w:rPr>
        <w:t xml:space="preserve">Details relevant to significant probes (SPs). </w:t>
      </w:r>
      <w:r w:rsidRPr="00283869">
        <w:rPr>
          <w:szCs w:val="22"/>
        </w:rPr>
        <w:t>Listed</w:t>
      </w:r>
      <w:r w:rsidRPr="00283869">
        <w:rPr>
          <w:b/>
          <w:szCs w:val="22"/>
        </w:rPr>
        <w:t xml:space="preserve"> </w:t>
      </w:r>
      <w:r w:rsidRPr="00283869">
        <w:rPr>
          <w:szCs w:val="22"/>
        </w:rPr>
        <w:t xml:space="preserve">records include 206 SPs and adjacent probes belonging to the same peak determined by </w:t>
      </w:r>
      <w:proofErr w:type="spellStart"/>
      <w:r w:rsidRPr="00283869">
        <w:rPr>
          <w:szCs w:val="22"/>
        </w:rPr>
        <w:t>meRIP-seq</w:t>
      </w:r>
      <w:proofErr w:type="spellEnd"/>
      <w:r w:rsidRPr="00283869">
        <w:rPr>
          <w:szCs w:val="22"/>
        </w:rPr>
        <w:t>, based on previous publication(s)</w:t>
      </w:r>
      <w:r w:rsidRPr="00283869">
        <w:rPr>
          <w:szCs w:val="22"/>
        </w:rPr>
        <w:fldChar w:fldCharType="begin"/>
      </w:r>
      <w:r>
        <w:rPr>
          <w:szCs w:val="22"/>
        </w:rPr>
        <w:instrText xml:space="preserve"> ADDIN EN.CITE &lt;EndNote&gt;&lt;Cite&gt;&lt;Author&gt;Wang&lt;/Author&gt;&lt;Year&gt;2014&lt;/Year&gt;&lt;RecNum&gt;222&lt;/RecNum&gt;&lt;DisplayText&gt;(Wang et al. 2014b)&lt;/DisplayText&gt;&lt;record&gt;&lt;rec-number&gt;222&lt;/rec-number&gt;&lt;foreign-keys&gt;&lt;key app="EN" db-id="5xtxdw2vmawreve2rxk5xsec0fe0vsrp9zx5"&gt;222&lt;/key&gt;&lt;/foreign-keys&gt;&lt;ref-type name="Journal Article"&gt;17&lt;/ref-type&gt;&lt;contributors&gt;&lt;authors&gt;&lt;author&gt;Wang, Y.&lt;/author&gt;&lt;author&gt;Li, Y.&lt;/author&gt;&lt;author&gt;Toth, J. I.&lt;/author&gt;&lt;author&gt;Petroski, M. D.&lt;/author&gt;&lt;author&gt;Zhang, Z.&lt;/author&gt;&lt;author&gt;Zhao, J. C.&lt;/author&gt;&lt;/authors&gt;&lt;/contributors&gt;&lt;auth-address&gt;Tumor Initiation and Maintenance Program, NCI-designated Cancer Center, Sanford Burnham Medical Research Institute, La Jolla, California 92037, USA.&amp;#xD;Department of Computer Science, The Donnelly Centre, University of Toronto, Toronto M5S 3G4, Canada.&amp;#xD;1] Department of Computer Science, The Donnelly Centre, University of Toronto, Toronto M5S 3G4, Canada [2] Department of Molecular Genetics, Donnelly Centre for Cellular and Biomolecular Research, Banting and Best Department of Medical Research, University of Toronto, Toronto M5S 3G4, Canada.&lt;/auth-address&gt;&lt;titles&gt;&lt;title&gt;N(6)-methyladenosine modification destabilizes developmental regulators in embryonic stem cells&lt;/title&gt;&lt;secondary-title&gt;Nat Cell Biol&lt;/secondary-title&gt;&lt;alt-title&gt;Nature cell biology&lt;/alt-title&gt;&lt;/titles&gt;&lt;periodical&gt;&lt;full-title&gt;Nat Cell Biol&lt;/full-title&gt;&lt;abbr-1&gt;Nature cell biology&lt;/abbr-1&gt;&lt;/periodical&gt;&lt;alt-periodical&gt;&lt;full-title&gt;Nat Cell Biol&lt;/full-title&gt;&lt;abbr-1&gt;Nature cell biology&lt;/abbr-1&gt;&lt;/alt-periodical&gt;&lt;pages&gt;191-8&lt;/pages&gt;&lt;volume&gt;16&lt;/volume&gt;&lt;number&gt;2&lt;/number&gt;&lt;edition&gt;2014/01/08&lt;/edition&gt;&lt;dates&gt;&lt;year&gt;2014&lt;/year&gt;&lt;pub-dates&gt;&lt;date&gt;Feb&lt;/date&gt;&lt;/pub-dates&gt;&lt;/dates&gt;&lt;isbn&gt;1476-4679 (Electronic)&amp;#xD;1465-7392 (Linking)&lt;/isbn&gt;&lt;accession-num&gt;24394384&lt;/accession-num&gt;&lt;urls&gt;&lt;related-urls&gt;&lt;url&gt;http://www.ncbi.nlm.nih.gov/pubmed/24394384&lt;/url&gt;&lt;/related-urls&gt;&lt;/urls&gt;&lt;electronic-resource-num&gt;10.1038/ncb2902&lt;/electronic-resource-num&gt;&lt;/record&gt;&lt;/Cite&gt;&lt;/EndNote&gt;</w:instrText>
      </w:r>
      <w:r w:rsidRPr="00283869">
        <w:rPr>
          <w:szCs w:val="22"/>
        </w:rPr>
        <w:fldChar w:fldCharType="separate"/>
      </w:r>
      <w:r>
        <w:rPr>
          <w:noProof/>
          <w:szCs w:val="22"/>
        </w:rPr>
        <w:t>(</w:t>
      </w:r>
      <w:hyperlink w:anchor="_ENREF_29" w:tooltip="Wang, 2014 #222" w:history="1">
        <w:r>
          <w:rPr>
            <w:noProof/>
            <w:szCs w:val="22"/>
          </w:rPr>
          <w:t>Wang et al. 2014b</w:t>
        </w:r>
      </w:hyperlink>
      <w:r>
        <w:rPr>
          <w:noProof/>
          <w:szCs w:val="22"/>
        </w:rPr>
        <w:t>)</w:t>
      </w:r>
      <w:r w:rsidRPr="00283869">
        <w:rPr>
          <w:szCs w:val="22"/>
        </w:rPr>
        <w:fldChar w:fldCharType="end"/>
      </w:r>
      <w:r w:rsidRPr="00283869">
        <w:rPr>
          <w:szCs w:val="22"/>
        </w:rPr>
        <w:t>. Columns A-H: information relevant to corresponding genes and probes; columns I-Q: normalized log2 Cy5/Cy3 ratios for M14/</w:t>
      </w:r>
      <w:proofErr w:type="spellStart"/>
      <w:r w:rsidRPr="00283869">
        <w:rPr>
          <w:szCs w:val="22"/>
        </w:rPr>
        <w:t>Scr</w:t>
      </w:r>
      <w:proofErr w:type="spellEnd"/>
      <w:r w:rsidRPr="00283869">
        <w:rPr>
          <w:szCs w:val="22"/>
        </w:rPr>
        <w:t>, DZA/</w:t>
      </w:r>
      <w:proofErr w:type="spellStart"/>
      <w:r w:rsidRPr="00283869">
        <w:rPr>
          <w:szCs w:val="22"/>
        </w:rPr>
        <w:t>Scr</w:t>
      </w:r>
      <w:proofErr w:type="spellEnd"/>
      <w:r w:rsidRPr="00283869">
        <w:rPr>
          <w:szCs w:val="22"/>
        </w:rPr>
        <w:t>, and M14/M14, each with 3 replicates; columns R and S: false discovery rate (FDR) for M14/</w:t>
      </w:r>
      <w:proofErr w:type="spellStart"/>
      <w:r w:rsidRPr="00283869">
        <w:rPr>
          <w:szCs w:val="22"/>
        </w:rPr>
        <w:t>Scr</w:t>
      </w:r>
      <w:proofErr w:type="spellEnd"/>
      <w:r w:rsidRPr="00283869">
        <w:rPr>
          <w:szCs w:val="22"/>
        </w:rPr>
        <w:t xml:space="preserve"> and DZA/</w:t>
      </w:r>
      <w:proofErr w:type="spellStart"/>
      <w:r w:rsidRPr="00283869">
        <w:rPr>
          <w:szCs w:val="22"/>
        </w:rPr>
        <w:t>Scr</w:t>
      </w:r>
      <w:proofErr w:type="spellEnd"/>
      <w:r w:rsidRPr="00283869">
        <w:rPr>
          <w:szCs w:val="22"/>
        </w:rPr>
        <w:t xml:space="preserve"> based on the Peak-call method (see </w:t>
      </w:r>
      <w:r w:rsidRPr="00283869">
        <w:rPr>
          <w:b/>
          <w:szCs w:val="22"/>
        </w:rPr>
        <w:t>Methods</w:t>
      </w:r>
      <w:r w:rsidRPr="00283869">
        <w:rPr>
          <w:szCs w:val="22"/>
        </w:rPr>
        <w:t xml:space="preserve">); columns T-W: statistical scores as </w:t>
      </w:r>
      <w:r w:rsidRPr="00283869">
        <w:rPr>
          <w:i/>
          <w:szCs w:val="22"/>
        </w:rPr>
        <w:t>p</w:t>
      </w:r>
      <w:r w:rsidRPr="00283869">
        <w:rPr>
          <w:szCs w:val="22"/>
        </w:rPr>
        <w:t xml:space="preserve">-values and running sum scores from the Sample-test method (see </w:t>
      </w:r>
      <w:r w:rsidRPr="00283869">
        <w:rPr>
          <w:b/>
          <w:szCs w:val="22"/>
        </w:rPr>
        <w:t>Methods</w:t>
      </w:r>
      <w:r w:rsidRPr="00283869">
        <w:rPr>
          <w:szCs w:val="22"/>
        </w:rPr>
        <w:t xml:space="preserve">); column X: final predictions of </w:t>
      </w:r>
      <w:r>
        <w:rPr>
          <w:szCs w:val="22"/>
        </w:rPr>
        <w:t>S</w:t>
      </w:r>
      <w:r w:rsidRPr="00283869">
        <w:rPr>
          <w:szCs w:val="22"/>
        </w:rPr>
        <w:t xml:space="preserve">ignificant </w:t>
      </w:r>
      <w:r>
        <w:rPr>
          <w:szCs w:val="22"/>
        </w:rPr>
        <w:t>P</w:t>
      </w:r>
      <w:r w:rsidRPr="00283869">
        <w:rPr>
          <w:szCs w:val="22"/>
        </w:rPr>
        <w:t>robes (double star) based on results from columns R-W.</w:t>
      </w:r>
    </w:p>
    <w:p w:rsidR="00716C43" w:rsidRPr="00283869" w:rsidRDefault="00716C43" w:rsidP="00716C43">
      <w:pPr>
        <w:spacing w:line="360" w:lineRule="auto"/>
        <w:rPr>
          <w:szCs w:val="22"/>
        </w:rPr>
      </w:pPr>
    </w:p>
    <w:p w:rsidR="00716C43" w:rsidRPr="00283869" w:rsidRDefault="00716C43" w:rsidP="00716C43">
      <w:pPr>
        <w:spacing w:line="360" w:lineRule="auto"/>
        <w:rPr>
          <w:szCs w:val="22"/>
        </w:rPr>
      </w:pPr>
      <w:r w:rsidRPr="00283869">
        <w:rPr>
          <w:b/>
          <w:szCs w:val="22"/>
        </w:rPr>
        <w:t>Table S3.</w:t>
      </w:r>
      <w:r w:rsidRPr="00283869">
        <w:rPr>
          <w:szCs w:val="22"/>
        </w:rPr>
        <w:t xml:space="preserve"> </w:t>
      </w:r>
      <w:r w:rsidRPr="00283869">
        <w:rPr>
          <w:b/>
          <w:szCs w:val="22"/>
        </w:rPr>
        <w:t>Information related to genes overlapped by 206 SPs.</w:t>
      </w:r>
      <w:r w:rsidRPr="00283869">
        <w:rPr>
          <w:szCs w:val="22"/>
        </w:rPr>
        <w:t xml:space="preserve"> In total, 206 probes were located in genic regions of 64 annotated protein-coding genes and in 2 </w:t>
      </w:r>
      <w:proofErr w:type="spellStart"/>
      <w:r w:rsidRPr="00283869">
        <w:rPr>
          <w:szCs w:val="22"/>
        </w:rPr>
        <w:t>Intergenic</w:t>
      </w:r>
      <w:proofErr w:type="spellEnd"/>
      <w:r w:rsidRPr="00283869">
        <w:rPr>
          <w:szCs w:val="22"/>
        </w:rPr>
        <w:t xml:space="preserve"> regions. Columns F and G indicate the number of probes located in that gene and the average distance between adjacent probes, where 0 indicates that two probes overlap. Other columns are self-explanatory.</w:t>
      </w:r>
    </w:p>
    <w:p w:rsidR="008420E3" w:rsidRDefault="008420E3">
      <w:bookmarkStart w:id="0" w:name="_GoBack"/>
      <w:bookmarkEnd w:id="0"/>
    </w:p>
    <w:sectPr w:rsidR="008420E3" w:rsidSect="008420E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C43"/>
    <w:rsid w:val="0027073C"/>
    <w:rsid w:val="00716C43"/>
    <w:rsid w:val="008420E3"/>
    <w:rsid w:val="00B55501"/>
    <w:rsid w:val="00C14746"/>
    <w:rsid w:val="00C46265"/>
    <w:rsid w:val="00F1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5C515C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556</Words>
  <Characters>3174</Characters>
  <Application>Microsoft Macintosh Word</Application>
  <DocSecurity>0</DocSecurity>
  <Lines>26</Lines>
  <Paragraphs>7</Paragraphs>
  <ScaleCrop>false</ScaleCrop>
  <Company/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Mulligan</dc:creator>
  <cp:keywords/>
  <dc:description/>
  <cp:lastModifiedBy>Mary Mulligan</cp:lastModifiedBy>
  <cp:revision>1</cp:revision>
  <dcterms:created xsi:type="dcterms:W3CDTF">2015-06-02T18:12:00Z</dcterms:created>
  <dcterms:modified xsi:type="dcterms:W3CDTF">2015-06-02T18:13:00Z</dcterms:modified>
</cp:coreProperties>
</file>