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7C" w:rsidRPr="00E34329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E34329">
        <w:rPr>
          <w:rFonts w:ascii="Arial" w:hAnsi="Arial" w:cs="Arial"/>
          <w:b/>
        </w:rPr>
        <w:t>Supp</w:t>
      </w:r>
      <w:r>
        <w:rPr>
          <w:rFonts w:ascii="Arial" w:hAnsi="Arial" w:cs="Arial"/>
          <w:b/>
        </w:rPr>
        <w:t xml:space="preserve">lemental Information </w:t>
      </w:r>
      <w:r w:rsidRPr="00E34329">
        <w:rPr>
          <w:rFonts w:ascii="Arial" w:hAnsi="Arial" w:cs="Arial"/>
          <w:b/>
        </w:rPr>
        <w:t xml:space="preserve">Figures </w:t>
      </w:r>
    </w:p>
    <w:p w:rsidR="005C7C7C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</w:rPr>
      </w:pPr>
      <w:r w:rsidRPr="00840D99">
        <w:rPr>
          <w:rFonts w:ascii="Arial" w:hAnsi="Arial" w:cs="Arial"/>
          <w:b/>
          <w:sz w:val="22"/>
        </w:rPr>
        <w:t>Table 1</w:t>
      </w:r>
      <w:r>
        <w:rPr>
          <w:rFonts w:ascii="Arial" w:hAnsi="Arial" w:cs="Arial"/>
          <w:b/>
          <w:sz w:val="22"/>
        </w:rPr>
        <w:t>.</w:t>
      </w:r>
      <w:r w:rsidRPr="00840D99">
        <w:rPr>
          <w:rFonts w:ascii="Arial" w:hAnsi="Arial" w:cs="Arial"/>
          <w:b/>
          <w:sz w:val="22"/>
        </w:rPr>
        <w:t xml:space="preserve"> Protein assignment in Csa, Cst, Cmr immunoprecipitated complexes by tandem mass spectrometry</w:t>
      </w:r>
      <w:r>
        <w:rPr>
          <w:rFonts w:ascii="Arial" w:hAnsi="Arial" w:cs="Arial"/>
          <w:sz w:val="22"/>
        </w:rPr>
        <w:t xml:space="preserve">. Percent sequence coverage and unique peptides of Cas and non-Cas proteins identified in Csa (Csa2, Cas3”), Cst (Cst2, Cas5t), and Cmr (Cmr2) immunoprecipitations are specified. The data were generated from either in-solution or in-gel trypsin-digested samples from 2-5 replicates.  Proteins listed were subjected to pre-immune background subtraction and are specifically identified in immune pellets. Proteins identified in one replicate are indicated by asterisk. </w:t>
      </w:r>
    </w:p>
    <w:p w:rsidR="005C7C7C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</w:rPr>
      </w:pPr>
    </w:p>
    <w:p w:rsidR="005C7C7C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Figure S1. Cas protein composition of immunopurified complexes. </w:t>
      </w:r>
      <w:r w:rsidRPr="00F81EA1">
        <w:rPr>
          <w:rFonts w:ascii="Arial" w:hAnsi="Arial" w:cs="Arial"/>
          <w:sz w:val="22"/>
        </w:rPr>
        <w:t xml:space="preserve">Silver-stained SDS-polyacrylamide gels of </w:t>
      </w:r>
      <w:r>
        <w:rPr>
          <w:rFonts w:ascii="Arial" w:hAnsi="Arial" w:cs="Arial"/>
          <w:sz w:val="22"/>
        </w:rPr>
        <w:t>Csa (Cas3”) and Cst (Cas5t) immunopurified pellets with</w:t>
      </w:r>
      <w:r w:rsidRPr="00F81EA1">
        <w:rPr>
          <w:rFonts w:ascii="Arial" w:hAnsi="Arial" w:cs="Arial"/>
          <w:sz w:val="22"/>
        </w:rPr>
        <w:t xml:space="preserve"> pre-immune</w:t>
      </w:r>
      <w:r>
        <w:rPr>
          <w:rFonts w:ascii="Arial" w:hAnsi="Arial" w:cs="Arial"/>
          <w:sz w:val="22"/>
        </w:rPr>
        <w:t xml:space="preserve"> (PI)</w:t>
      </w:r>
      <w:r w:rsidRPr="00F81EA1">
        <w:rPr>
          <w:rFonts w:ascii="Arial" w:hAnsi="Arial" w:cs="Arial"/>
          <w:sz w:val="22"/>
        </w:rPr>
        <w:t xml:space="preserve"> or immune</w:t>
      </w:r>
      <w:r>
        <w:rPr>
          <w:rFonts w:ascii="Arial" w:hAnsi="Arial" w:cs="Arial"/>
          <w:sz w:val="22"/>
        </w:rPr>
        <w:t xml:space="preserve"> (I)</w:t>
      </w:r>
      <w:r w:rsidRPr="00F81EA1">
        <w:rPr>
          <w:rFonts w:ascii="Arial" w:hAnsi="Arial" w:cs="Arial"/>
          <w:sz w:val="22"/>
        </w:rPr>
        <w:t xml:space="preserve"> antibodies a</w:t>
      </w:r>
      <w:r>
        <w:rPr>
          <w:rFonts w:ascii="Arial" w:hAnsi="Arial" w:cs="Arial"/>
          <w:sz w:val="22"/>
        </w:rPr>
        <w:t>s label</w:t>
      </w:r>
      <w:r w:rsidRPr="00F81EA1">
        <w:rPr>
          <w:rFonts w:ascii="Arial" w:hAnsi="Arial" w:cs="Arial"/>
          <w:sz w:val="22"/>
        </w:rPr>
        <w:t xml:space="preserve">ed. </w:t>
      </w:r>
      <w:r>
        <w:rPr>
          <w:rFonts w:ascii="Arial" w:hAnsi="Arial" w:cs="Arial"/>
          <w:sz w:val="22"/>
        </w:rPr>
        <w:t>Cas proteins identified by tandem mass spectrometry are indicated based on expected molecular weight</w:t>
      </w:r>
      <w:r w:rsidRPr="00F81E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The antigens are labeled in bold. Cas proteins identified by mass spectrometry that do not correlate to a visible band are marked with an asterisk.</w:t>
      </w:r>
      <w:r w:rsidRPr="00F81EA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 is the protein standard</w:t>
      </w:r>
      <w:r w:rsidRPr="00F81EA1">
        <w:rPr>
          <w:rFonts w:ascii="Arial" w:hAnsi="Arial" w:cs="Arial"/>
          <w:sz w:val="22"/>
        </w:rPr>
        <w:t xml:space="preserve"> in kilodaltons (</w:t>
      </w:r>
      <w:r>
        <w:rPr>
          <w:rFonts w:ascii="Arial" w:hAnsi="Arial" w:cs="Arial"/>
          <w:sz w:val="22"/>
        </w:rPr>
        <w:t>k</w:t>
      </w:r>
      <w:r w:rsidRPr="000E0990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</w:t>
      </w:r>
      <w:r w:rsidRPr="00F81EA1">
        <w:rPr>
          <w:rFonts w:ascii="Arial" w:hAnsi="Arial" w:cs="Arial"/>
          <w:sz w:val="22"/>
        </w:rPr>
        <w:t xml:space="preserve">). </w:t>
      </w:r>
    </w:p>
    <w:p w:rsidR="005C7C7C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5C7C7C" w:rsidRPr="0016414F" w:rsidRDefault="005C7C7C" w:rsidP="005C7C7C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</w:rPr>
      </w:pPr>
      <w:r w:rsidRPr="00840D99">
        <w:rPr>
          <w:rFonts w:ascii="Arial" w:hAnsi="Arial" w:cs="Arial"/>
          <w:b/>
          <w:sz w:val="22"/>
        </w:rPr>
        <w:t>Figure</w:t>
      </w:r>
      <w:r>
        <w:rPr>
          <w:rFonts w:ascii="Arial" w:hAnsi="Arial" w:cs="Arial"/>
          <w:b/>
          <w:sz w:val="22"/>
        </w:rPr>
        <w:t>s</w:t>
      </w:r>
      <w:r w:rsidRPr="00840D99">
        <w:rPr>
          <w:rFonts w:ascii="Arial" w:hAnsi="Arial" w:cs="Arial"/>
          <w:b/>
          <w:sz w:val="22"/>
        </w:rPr>
        <w:t xml:space="preserve"> S2-S7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RNA-seq profiles</w:t>
      </w:r>
      <w:r w:rsidRPr="00840D99">
        <w:rPr>
          <w:rFonts w:ascii="Arial" w:hAnsi="Arial" w:cs="Arial"/>
          <w:b/>
          <w:sz w:val="22"/>
        </w:rPr>
        <w:t xml:space="preserve"> of crRNAs</w:t>
      </w:r>
      <w:r>
        <w:rPr>
          <w:rFonts w:ascii="Arial" w:hAnsi="Arial" w:cs="Arial"/>
          <w:b/>
          <w:sz w:val="22"/>
        </w:rPr>
        <w:t xml:space="preserve"> </w:t>
      </w:r>
      <w:r w:rsidRPr="00840D99">
        <w:rPr>
          <w:rFonts w:ascii="Arial" w:hAnsi="Arial" w:cs="Arial"/>
          <w:b/>
          <w:sz w:val="22"/>
        </w:rPr>
        <w:t xml:space="preserve">associated with the Csa, Cst, and Cmr complexes </w:t>
      </w:r>
      <w:r>
        <w:rPr>
          <w:rFonts w:ascii="Arial" w:hAnsi="Arial" w:cs="Arial"/>
          <w:b/>
          <w:sz w:val="22"/>
        </w:rPr>
        <w:t>and in total RNA</w:t>
      </w:r>
      <w:r>
        <w:rPr>
          <w:rFonts w:ascii="Arial" w:hAnsi="Arial" w:cs="Arial"/>
          <w:sz w:val="22"/>
        </w:rPr>
        <w:t>. The number</w:t>
      </w:r>
      <w:r w:rsidRPr="003953C3">
        <w:rPr>
          <w:rFonts w:ascii="Arial" w:hAnsi="Arial" w:cs="Arial"/>
          <w:sz w:val="22"/>
        </w:rPr>
        <w:t xml:space="preserve"> of reads</w:t>
      </w:r>
      <w:r>
        <w:rPr>
          <w:rFonts w:ascii="Arial" w:hAnsi="Arial" w:cs="Arial"/>
          <w:sz w:val="22"/>
        </w:rPr>
        <w:t xml:space="preserve"> (in thousands)</w:t>
      </w:r>
      <w:r w:rsidRPr="003953C3">
        <w:rPr>
          <w:rFonts w:ascii="Arial" w:hAnsi="Arial" w:cs="Arial"/>
          <w:sz w:val="22"/>
        </w:rPr>
        <w:t xml:space="preserve"> of </w:t>
      </w:r>
      <w:r>
        <w:rPr>
          <w:rFonts w:ascii="Arial" w:hAnsi="Arial" w:cs="Arial"/>
          <w:sz w:val="22"/>
        </w:rPr>
        <w:t>cr</w:t>
      </w:r>
      <w:r w:rsidRPr="003953C3">
        <w:rPr>
          <w:rFonts w:ascii="Arial" w:hAnsi="Arial" w:cs="Arial"/>
          <w:sz w:val="22"/>
        </w:rPr>
        <w:t>RNAs-associated with each com</w:t>
      </w:r>
      <w:r>
        <w:rPr>
          <w:rFonts w:ascii="Arial" w:hAnsi="Arial" w:cs="Arial"/>
          <w:sz w:val="22"/>
        </w:rPr>
        <w:t>plex (extracted from</w:t>
      </w:r>
      <w:r w:rsidRPr="003953C3">
        <w:rPr>
          <w:rFonts w:ascii="Arial" w:hAnsi="Arial" w:cs="Arial"/>
          <w:sz w:val="22"/>
        </w:rPr>
        <w:t xml:space="preserve"> immune pellets of </w:t>
      </w:r>
      <w:r>
        <w:rPr>
          <w:rFonts w:ascii="Arial" w:hAnsi="Arial" w:cs="Arial"/>
          <w:sz w:val="22"/>
        </w:rPr>
        <w:t>Cas3”</w:t>
      </w:r>
      <w:r w:rsidRPr="003953C3">
        <w:rPr>
          <w:rFonts w:ascii="Arial" w:hAnsi="Arial" w:cs="Arial"/>
          <w:sz w:val="22"/>
        </w:rPr>
        <w:t>, Csa2, Cas5t,</w:t>
      </w:r>
      <w:r>
        <w:rPr>
          <w:rFonts w:ascii="Arial" w:hAnsi="Arial" w:cs="Arial"/>
          <w:sz w:val="22"/>
        </w:rPr>
        <w:t xml:space="preserve"> Cst2, Cmr2)</w:t>
      </w:r>
      <w:r w:rsidRPr="003953C3">
        <w:rPr>
          <w:rFonts w:ascii="Arial" w:hAnsi="Arial" w:cs="Arial"/>
          <w:sz w:val="22"/>
        </w:rPr>
        <w:t xml:space="preserve"> compared to </w:t>
      </w:r>
      <w:r>
        <w:rPr>
          <w:rFonts w:ascii="Arial" w:hAnsi="Arial" w:cs="Arial"/>
          <w:sz w:val="22"/>
        </w:rPr>
        <w:t>crRNAs in</w:t>
      </w:r>
      <w:r w:rsidRPr="003953C3">
        <w:rPr>
          <w:rFonts w:ascii="Arial" w:hAnsi="Arial" w:cs="Arial"/>
          <w:sz w:val="22"/>
        </w:rPr>
        <w:t xml:space="preserve"> total RNA </w:t>
      </w:r>
      <w:r>
        <w:rPr>
          <w:rFonts w:ascii="Arial" w:hAnsi="Arial" w:cs="Arial"/>
          <w:sz w:val="22"/>
        </w:rPr>
        <w:t xml:space="preserve">(extracted from untreated S100 extract) </w:t>
      </w:r>
      <w:r w:rsidRPr="003953C3">
        <w:rPr>
          <w:rFonts w:ascii="Arial" w:hAnsi="Arial" w:cs="Arial"/>
          <w:sz w:val="22"/>
        </w:rPr>
        <w:t xml:space="preserve">that map to CRISPR </w:t>
      </w:r>
      <w:r w:rsidRPr="00251E0C">
        <w:rPr>
          <w:rFonts w:ascii="Arial" w:hAnsi="Arial" w:cs="Arial"/>
          <w:sz w:val="22"/>
        </w:rPr>
        <w:t>locus 1 (S2), 2 (S3), 4 (S4), 6 (S5), 7 (S6), and 8 (S7)</w:t>
      </w:r>
      <w:r>
        <w:rPr>
          <w:rFonts w:ascii="Arial" w:hAnsi="Arial" w:cs="Arial"/>
          <w:sz w:val="22"/>
        </w:rPr>
        <w:t xml:space="preserve"> </w:t>
      </w:r>
      <w:r w:rsidRPr="003953C3">
        <w:rPr>
          <w:rFonts w:ascii="Arial" w:hAnsi="Arial" w:cs="Arial"/>
          <w:sz w:val="22"/>
        </w:rPr>
        <w:t>are shown. Reads map</w:t>
      </w:r>
      <w:r>
        <w:rPr>
          <w:rFonts w:ascii="Arial" w:hAnsi="Arial" w:cs="Arial"/>
          <w:sz w:val="22"/>
        </w:rPr>
        <w:t>ping to both the sense (red, transcribed from upstream leader) and antisense (blue) strand are indicated. The black</w:t>
      </w:r>
      <w:r w:rsidRPr="003953C3">
        <w:rPr>
          <w:rFonts w:ascii="Arial" w:hAnsi="Arial" w:cs="Arial"/>
          <w:sz w:val="22"/>
        </w:rPr>
        <w:t xml:space="preserve"> boxes at the </w:t>
      </w:r>
      <w:r>
        <w:rPr>
          <w:rFonts w:ascii="Arial" w:hAnsi="Arial" w:cs="Arial"/>
          <w:sz w:val="22"/>
        </w:rPr>
        <w:t>top</w:t>
      </w:r>
      <w:r w:rsidRPr="003953C3">
        <w:rPr>
          <w:rFonts w:ascii="Arial" w:hAnsi="Arial" w:cs="Arial"/>
          <w:sz w:val="22"/>
        </w:rPr>
        <w:t xml:space="preserve"> correspond to CRISPR rep</w:t>
      </w:r>
      <w:r>
        <w:rPr>
          <w:rFonts w:ascii="Arial" w:hAnsi="Arial" w:cs="Arial"/>
          <w:sz w:val="22"/>
        </w:rPr>
        <w:t>eats interspersed by guide sequences</w:t>
      </w:r>
      <w:r w:rsidRPr="003953C3">
        <w:rPr>
          <w:rFonts w:ascii="Arial" w:hAnsi="Arial" w:cs="Arial"/>
          <w:sz w:val="22"/>
        </w:rPr>
        <w:t xml:space="preserve"> shown as </w:t>
      </w:r>
      <w:r>
        <w:rPr>
          <w:rFonts w:ascii="Arial" w:hAnsi="Arial" w:cs="Arial"/>
          <w:sz w:val="22"/>
        </w:rPr>
        <w:t>black</w:t>
      </w:r>
      <w:r w:rsidRPr="003953C3">
        <w:rPr>
          <w:rFonts w:ascii="Arial" w:hAnsi="Arial" w:cs="Arial"/>
          <w:sz w:val="22"/>
        </w:rPr>
        <w:t xml:space="preserve"> lines</w:t>
      </w:r>
      <w:r>
        <w:rPr>
          <w:rFonts w:ascii="Arial" w:hAnsi="Arial" w:cs="Arial"/>
          <w:sz w:val="22"/>
        </w:rPr>
        <w:t>.</w:t>
      </w:r>
    </w:p>
    <w:p w:rsidR="005C7C7C" w:rsidRDefault="005C7C7C" w:rsidP="005C7C7C"/>
    <w:p w:rsidR="005C7C7C" w:rsidRDefault="005C7C7C" w:rsidP="005C7C7C"/>
    <w:p w:rsidR="005C7C7C" w:rsidRDefault="005C7C7C" w:rsidP="005C7C7C"/>
    <w:p w:rsidR="008420E3" w:rsidRDefault="008420E3">
      <w:bookmarkStart w:id="0" w:name="_GoBack"/>
      <w:bookmarkEnd w:id="0"/>
    </w:p>
    <w:sectPr w:rsidR="008420E3" w:rsidSect="006B34E0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A" w:rsidRDefault="005C7C7C" w:rsidP="008776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79A" w:rsidRDefault="005C7C7C" w:rsidP="00A77B1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A" w:rsidRDefault="005C7C7C" w:rsidP="008776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579A" w:rsidRPr="00B92C8D" w:rsidRDefault="005C7C7C" w:rsidP="00A77B1F">
    <w:pPr>
      <w:pStyle w:val="Footer"/>
      <w:ind w:right="360"/>
      <w:jc w:val="center"/>
      <w:rPr>
        <w:rFonts w:ascii="Arial" w:hAnsi="Arial"/>
      </w:rPr>
    </w:pPr>
    <w:r w:rsidRPr="00B92C8D">
      <w:rPr>
        <w:rFonts w:ascii="Arial" w:hAnsi="Arial"/>
      </w:rPr>
      <w:t xml:space="preserve">Majumdar et al.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7C"/>
    <w:rsid w:val="0027073C"/>
    <w:rsid w:val="005C7C7C"/>
    <w:rsid w:val="008420E3"/>
    <w:rsid w:val="00AC507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C7C7C"/>
    <w:pPr>
      <w:tabs>
        <w:tab w:val="center" w:pos="4320"/>
        <w:tab w:val="right" w:pos="8640"/>
      </w:tabs>
    </w:pPr>
    <w:rPr>
      <w:rFonts w:eastAsia="ＭＳ 明朝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7C7C"/>
    <w:rPr>
      <w:rFonts w:eastAsia="ＭＳ 明朝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5C7C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C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7C"/>
    <w:rPr>
      <w:rFonts w:ascii="Lucida Grande" w:hAnsi="Lucida Grande" w:cs="Lucida Grande"/>
      <w:color w:val="000000"/>
      <w:kern w:val="2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C7C7C"/>
    <w:pPr>
      <w:tabs>
        <w:tab w:val="center" w:pos="4320"/>
        <w:tab w:val="right" w:pos="8640"/>
      </w:tabs>
    </w:pPr>
    <w:rPr>
      <w:rFonts w:eastAsia="ＭＳ 明朝"/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7C7C"/>
    <w:rPr>
      <w:rFonts w:eastAsia="ＭＳ 明朝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5C7C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C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7C"/>
    <w:rPr>
      <w:rFonts w:ascii="Lucida Grande" w:hAnsi="Lucida Grande" w:cs="Lucida Grande"/>
      <w:color w:val="000000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2015-03-10T15:32:00Z</dcterms:created>
  <dcterms:modified xsi:type="dcterms:W3CDTF">2015-03-10T15:32:00Z</dcterms:modified>
</cp:coreProperties>
</file>