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157F8" w:rsidRPr="005D2D79" w:rsidRDefault="003157F8" w:rsidP="003157F8">
      <w:pPr>
        <w:rPr>
          <w:rFonts w:ascii="Arial" w:hAnsi="Arial"/>
          <w:b/>
          <w:color w:val="000000"/>
          <w:sz w:val="22"/>
        </w:rPr>
      </w:pPr>
      <w:r w:rsidRPr="005D2D79">
        <w:rPr>
          <w:rFonts w:ascii="Arial" w:hAnsi="Arial"/>
          <w:b/>
          <w:color w:val="000000"/>
          <w:sz w:val="22"/>
        </w:rPr>
        <w:t xml:space="preserve">Supplementary Figures </w:t>
      </w:r>
    </w:p>
    <w:p w:rsidR="003157F8" w:rsidRPr="005D2D79" w:rsidRDefault="003157F8" w:rsidP="003157F8">
      <w:pPr>
        <w:rPr>
          <w:rFonts w:ascii="Arial" w:hAnsi="Arial"/>
          <w:b/>
          <w:color w:val="000000"/>
          <w:sz w:val="22"/>
        </w:rPr>
      </w:pPr>
    </w:p>
    <w:p w:rsidR="003157F8" w:rsidRPr="005D2D79" w:rsidRDefault="003157F8" w:rsidP="003157F8">
      <w:pPr>
        <w:spacing w:line="480" w:lineRule="auto"/>
        <w:jc w:val="both"/>
        <w:rPr>
          <w:rFonts w:ascii="Arial" w:hAnsi="Arial"/>
          <w:color w:val="000000"/>
          <w:sz w:val="22"/>
        </w:rPr>
      </w:pPr>
    </w:p>
    <w:p w:rsidR="0030710E" w:rsidRDefault="003157F8" w:rsidP="0030710E">
      <w:pPr>
        <w:spacing w:line="480" w:lineRule="auto"/>
        <w:jc w:val="both"/>
        <w:rPr>
          <w:rFonts w:ascii="Arial" w:hAnsi="Arial"/>
          <w:color w:val="000000"/>
          <w:sz w:val="22"/>
        </w:rPr>
      </w:pPr>
      <w:r w:rsidRPr="005D2D79">
        <w:rPr>
          <w:rFonts w:ascii="Arial" w:hAnsi="Arial"/>
          <w:b/>
          <w:color w:val="000000"/>
          <w:sz w:val="22"/>
        </w:rPr>
        <w:t xml:space="preserve">Figure S1. Results from next generation sequencing of </w:t>
      </w:r>
      <w:r w:rsidRPr="005D2D79">
        <w:rPr>
          <w:rFonts w:ascii="Arial" w:hAnsi="Arial"/>
          <w:b/>
          <w:i/>
          <w:color w:val="000000"/>
          <w:sz w:val="22"/>
        </w:rPr>
        <w:t>D.virilis</w:t>
      </w:r>
      <w:r w:rsidR="009124AB">
        <w:rPr>
          <w:rFonts w:ascii="Arial" w:hAnsi="Arial"/>
          <w:b/>
          <w:color w:val="000000"/>
          <w:sz w:val="22"/>
        </w:rPr>
        <w:t xml:space="preserve"> small RNA libraries</w:t>
      </w:r>
      <w:r w:rsidRPr="005D2D79">
        <w:rPr>
          <w:rFonts w:ascii="Arial" w:hAnsi="Arial"/>
          <w:b/>
          <w:color w:val="000000"/>
          <w:sz w:val="22"/>
        </w:rPr>
        <w:t xml:space="preserve">. </w:t>
      </w:r>
      <w:r w:rsidRPr="001D4DD6">
        <w:rPr>
          <w:rFonts w:ascii="Arial" w:hAnsi="Arial"/>
          <w:b/>
          <w:color w:val="000000"/>
          <w:sz w:val="22"/>
        </w:rPr>
        <w:t>A</w:t>
      </w:r>
      <w:r w:rsidRPr="005D2D79">
        <w:rPr>
          <w:rFonts w:ascii="Arial" w:hAnsi="Arial"/>
          <w:color w:val="000000"/>
          <w:sz w:val="22"/>
        </w:rPr>
        <w:t xml:space="preserve">. Size distribution of reads from </w:t>
      </w:r>
      <w:r w:rsidRPr="005D2D79">
        <w:rPr>
          <w:rFonts w:ascii="Arial" w:hAnsi="Arial"/>
          <w:i/>
          <w:color w:val="000000"/>
          <w:sz w:val="22"/>
        </w:rPr>
        <w:t>D.virilis</w:t>
      </w:r>
      <w:r w:rsidRPr="005D2D79">
        <w:rPr>
          <w:rFonts w:ascii="Arial" w:hAnsi="Arial"/>
          <w:color w:val="000000"/>
          <w:sz w:val="22"/>
        </w:rPr>
        <w:t xml:space="preserve"> small RNA sequencing libraries (embryo 0-2h to adult) mapping to the genome. The majority of reads from each sample are of ~30 nt length, </w:t>
      </w:r>
      <w:r w:rsidR="009124AB">
        <w:rPr>
          <w:rFonts w:ascii="Arial" w:hAnsi="Arial"/>
          <w:color w:val="000000"/>
          <w:sz w:val="22"/>
        </w:rPr>
        <w:t>and map to the small ribosomal 2S RNA</w:t>
      </w:r>
      <w:r w:rsidRPr="005D2D79">
        <w:rPr>
          <w:rFonts w:ascii="Arial" w:hAnsi="Arial"/>
          <w:color w:val="000000"/>
          <w:sz w:val="22"/>
        </w:rPr>
        <w:t xml:space="preserve">. Apart from these, libraries are enriched in reads of sizes 22-23 nucleotides, corresponding to the microRNA fraction. </w:t>
      </w:r>
      <w:r w:rsidR="001D4DD6" w:rsidRPr="001D4DD6">
        <w:rPr>
          <w:rFonts w:ascii="Arial" w:hAnsi="Arial"/>
          <w:b/>
          <w:color w:val="000000"/>
          <w:sz w:val="22"/>
        </w:rPr>
        <w:t>B</w:t>
      </w:r>
      <w:r w:rsidR="001D4DD6">
        <w:rPr>
          <w:rFonts w:ascii="Arial" w:hAnsi="Arial"/>
          <w:b/>
          <w:color w:val="000000"/>
          <w:sz w:val="22"/>
        </w:rPr>
        <w:t xml:space="preserve">. </w:t>
      </w:r>
      <w:r w:rsidR="0030710E">
        <w:rPr>
          <w:rFonts w:ascii="Arial" w:hAnsi="Arial"/>
          <w:color w:val="000000"/>
          <w:sz w:val="22"/>
        </w:rPr>
        <w:t xml:space="preserve">Composition of </w:t>
      </w:r>
      <w:r w:rsidR="001D4DD6">
        <w:rPr>
          <w:rFonts w:ascii="Arial" w:hAnsi="Arial"/>
          <w:color w:val="000000"/>
          <w:sz w:val="22"/>
        </w:rPr>
        <w:t>long (25+ nt) and short (19-24 nt)</w:t>
      </w:r>
      <w:r w:rsidR="0030710E">
        <w:rPr>
          <w:rFonts w:ascii="Arial" w:hAnsi="Arial"/>
          <w:color w:val="000000"/>
          <w:sz w:val="22"/>
        </w:rPr>
        <w:t xml:space="preserve"> read fractions of the deep sequencing libraries. </w:t>
      </w:r>
      <w:r w:rsidR="009124AB">
        <w:rPr>
          <w:rFonts w:ascii="Arial" w:hAnsi="Arial"/>
          <w:color w:val="000000"/>
          <w:sz w:val="22"/>
        </w:rPr>
        <w:t>Labels are as in the main text.</w:t>
      </w:r>
    </w:p>
    <w:p w:rsidR="00AA751E" w:rsidRDefault="00AA751E" w:rsidP="0030710E">
      <w:pPr>
        <w:spacing w:line="480" w:lineRule="auto"/>
        <w:jc w:val="both"/>
        <w:rPr>
          <w:rFonts w:ascii="Arial" w:hAnsi="Arial"/>
          <w:color w:val="000000"/>
          <w:sz w:val="22"/>
        </w:rPr>
      </w:pPr>
    </w:p>
    <w:p w:rsidR="00AA751E" w:rsidRDefault="00AA751E" w:rsidP="003157F8">
      <w:pPr>
        <w:spacing w:line="480" w:lineRule="auto"/>
        <w:jc w:val="both"/>
        <w:rPr>
          <w:rFonts w:ascii="Arial" w:hAnsi="Arial"/>
          <w:color w:val="000000"/>
          <w:sz w:val="22"/>
        </w:rPr>
      </w:pPr>
      <w:r w:rsidRPr="00AA751E">
        <w:rPr>
          <w:rFonts w:ascii="Arial" w:hAnsi="Arial"/>
          <w:b/>
          <w:color w:val="000000"/>
          <w:sz w:val="22"/>
        </w:rPr>
        <w:t>Figure S2.</w:t>
      </w:r>
      <w:r w:rsidR="003157F8" w:rsidRPr="00AA751E">
        <w:rPr>
          <w:rFonts w:ascii="Arial" w:hAnsi="Arial"/>
          <w:b/>
          <w:color w:val="000000"/>
          <w:sz w:val="22"/>
        </w:rPr>
        <w:t xml:space="preserve"> Novel microRNAs in </w:t>
      </w:r>
      <w:r w:rsidR="003157F8" w:rsidRPr="00AA751E">
        <w:rPr>
          <w:rFonts w:ascii="Arial" w:hAnsi="Arial"/>
          <w:b/>
          <w:i/>
          <w:color w:val="000000"/>
          <w:sz w:val="22"/>
        </w:rPr>
        <w:t>D.virilis.</w:t>
      </w:r>
      <w:r w:rsidR="003157F8" w:rsidRPr="005D2D79">
        <w:rPr>
          <w:rFonts w:ascii="Arial" w:hAnsi="Arial"/>
          <w:i/>
          <w:color w:val="000000"/>
          <w:sz w:val="22"/>
        </w:rPr>
        <w:t xml:space="preserve"> </w:t>
      </w:r>
      <w:r w:rsidR="003157F8" w:rsidRPr="005D2D79">
        <w:rPr>
          <w:rFonts w:ascii="Arial" w:hAnsi="Arial"/>
          <w:color w:val="000000"/>
          <w:sz w:val="22"/>
        </w:rPr>
        <w:t>Genomic coordinates, numbers of reads mapping to 5’ and 3’ (5p and 3p)</w:t>
      </w:r>
      <w:r w:rsidR="00E257BA">
        <w:rPr>
          <w:rFonts w:ascii="Arial" w:hAnsi="Arial"/>
          <w:color w:val="000000"/>
          <w:sz w:val="22"/>
        </w:rPr>
        <w:t xml:space="preserve"> arms</w:t>
      </w:r>
      <w:r w:rsidR="003157F8" w:rsidRPr="005D2D79">
        <w:rPr>
          <w:rFonts w:ascii="Arial" w:hAnsi="Arial"/>
          <w:color w:val="000000"/>
          <w:sz w:val="22"/>
        </w:rPr>
        <w:t xml:space="preserve">, and genomic context of the candidate novel microRNAs in </w:t>
      </w:r>
      <w:r w:rsidR="003157F8" w:rsidRPr="005D2D79">
        <w:rPr>
          <w:rFonts w:ascii="Arial" w:hAnsi="Arial"/>
          <w:i/>
          <w:color w:val="000000"/>
          <w:sz w:val="22"/>
        </w:rPr>
        <w:t>D.</w:t>
      </w:r>
      <w:r w:rsidR="00E257BA">
        <w:rPr>
          <w:rFonts w:ascii="Arial" w:hAnsi="Arial"/>
          <w:i/>
          <w:color w:val="000000"/>
          <w:sz w:val="22"/>
        </w:rPr>
        <w:t xml:space="preserve"> </w:t>
      </w:r>
      <w:r w:rsidR="003157F8" w:rsidRPr="005D2D79">
        <w:rPr>
          <w:rFonts w:ascii="Arial" w:hAnsi="Arial"/>
          <w:i/>
          <w:color w:val="000000"/>
          <w:sz w:val="22"/>
        </w:rPr>
        <w:t>virilis</w:t>
      </w:r>
      <w:r w:rsidR="003157F8" w:rsidRPr="005D2D79">
        <w:rPr>
          <w:rFonts w:ascii="Arial" w:hAnsi="Arial"/>
          <w:color w:val="000000"/>
          <w:sz w:val="22"/>
        </w:rPr>
        <w:t xml:space="preserve"> are shown on the left; precursor hairpin structure is shown on the right, with 5p and 3p arms in red and purple. Hairpin images are generated with mirdeep2 </w:t>
      </w:r>
      <w:r w:rsidR="00141893" w:rsidRPr="00141893">
        <w:rPr>
          <w:rFonts w:ascii="Arial" w:hAnsi="Arial"/>
          <w:noProof/>
          <w:color w:val="000000"/>
          <w:sz w:val="22"/>
        </w:rPr>
        <w:t>(Friedländer et al. 2008)</w:t>
      </w:r>
      <w:r w:rsidR="003157F8" w:rsidRPr="005D2D79">
        <w:rPr>
          <w:rFonts w:ascii="Arial" w:hAnsi="Arial"/>
          <w:color w:val="000000"/>
          <w:sz w:val="22"/>
        </w:rPr>
        <w:t>.</w:t>
      </w:r>
    </w:p>
    <w:p w:rsidR="00AA751E" w:rsidRDefault="00AA751E" w:rsidP="003157F8">
      <w:pPr>
        <w:spacing w:line="480" w:lineRule="auto"/>
        <w:jc w:val="both"/>
        <w:rPr>
          <w:rFonts w:ascii="Arial" w:hAnsi="Arial"/>
          <w:color w:val="000000"/>
          <w:sz w:val="22"/>
        </w:rPr>
      </w:pPr>
    </w:p>
    <w:p w:rsidR="00AA751E" w:rsidRPr="00CF3C8F" w:rsidRDefault="00AA751E" w:rsidP="003157F8">
      <w:pPr>
        <w:spacing w:line="480" w:lineRule="auto"/>
        <w:jc w:val="both"/>
        <w:rPr>
          <w:rFonts w:ascii="Arial" w:hAnsi="Arial"/>
          <w:b/>
          <w:color w:val="000000"/>
          <w:sz w:val="22"/>
        </w:rPr>
      </w:pPr>
      <w:r w:rsidRPr="00AA751E">
        <w:rPr>
          <w:rFonts w:ascii="Arial" w:hAnsi="Arial"/>
          <w:b/>
          <w:color w:val="000000"/>
          <w:sz w:val="22"/>
        </w:rPr>
        <w:t xml:space="preserve">Figure S3. </w:t>
      </w:r>
      <w:r w:rsidR="004C65F8">
        <w:rPr>
          <w:rFonts w:ascii="Arial" w:hAnsi="Arial"/>
          <w:b/>
          <w:color w:val="000000"/>
          <w:sz w:val="22"/>
        </w:rPr>
        <w:t>Average e</w:t>
      </w:r>
      <w:r>
        <w:rPr>
          <w:rFonts w:ascii="Arial" w:hAnsi="Arial"/>
          <w:b/>
          <w:color w:val="000000"/>
          <w:sz w:val="22"/>
        </w:rPr>
        <w:t>xpression levels of mature microRNAs of different evolutionary rates</w:t>
      </w:r>
      <w:r w:rsidR="00CF3C8F">
        <w:rPr>
          <w:rFonts w:ascii="Arial" w:hAnsi="Arial"/>
          <w:b/>
          <w:color w:val="000000"/>
          <w:sz w:val="22"/>
        </w:rPr>
        <w:t xml:space="preserve"> across </w:t>
      </w:r>
      <w:r w:rsidR="00CF3C8F">
        <w:rPr>
          <w:rFonts w:ascii="Arial" w:hAnsi="Arial"/>
          <w:b/>
          <w:i/>
          <w:color w:val="000000"/>
          <w:sz w:val="22"/>
        </w:rPr>
        <w:t xml:space="preserve">D.virilis </w:t>
      </w:r>
      <w:r w:rsidR="00CF3C8F">
        <w:rPr>
          <w:rFonts w:ascii="Arial" w:hAnsi="Arial"/>
          <w:b/>
          <w:color w:val="000000"/>
          <w:sz w:val="22"/>
        </w:rPr>
        <w:t xml:space="preserve">development. </w:t>
      </w:r>
      <w:r w:rsidR="00CF3C8F">
        <w:rPr>
          <w:rFonts w:ascii="Arial" w:hAnsi="Arial"/>
          <w:color w:val="000000"/>
          <w:sz w:val="22"/>
        </w:rPr>
        <w:t xml:space="preserve">From left to right, graphs show the </w:t>
      </w:r>
      <w:r w:rsidR="0055189B">
        <w:rPr>
          <w:rFonts w:ascii="Arial" w:hAnsi="Arial"/>
          <w:color w:val="000000"/>
          <w:sz w:val="22"/>
        </w:rPr>
        <w:t xml:space="preserve">average </w:t>
      </w:r>
      <w:r w:rsidR="00CF3C8F">
        <w:rPr>
          <w:rFonts w:ascii="Arial" w:hAnsi="Arial"/>
          <w:color w:val="000000"/>
          <w:sz w:val="22"/>
        </w:rPr>
        <w:t xml:space="preserve">expression levels </w:t>
      </w:r>
      <w:r>
        <w:rPr>
          <w:rFonts w:ascii="Arial" w:hAnsi="Arial"/>
          <w:color w:val="000000"/>
          <w:sz w:val="22"/>
        </w:rPr>
        <w:t xml:space="preserve">of mature </w:t>
      </w:r>
      <w:r w:rsidR="006651E7">
        <w:rPr>
          <w:rFonts w:ascii="Arial" w:hAnsi="Arial"/>
          <w:color w:val="000000"/>
          <w:sz w:val="22"/>
        </w:rPr>
        <w:t xml:space="preserve">microRNA </w:t>
      </w:r>
      <w:r>
        <w:rPr>
          <w:rFonts w:ascii="Arial" w:hAnsi="Arial"/>
          <w:color w:val="000000"/>
          <w:sz w:val="22"/>
        </w:rPr>
        <w:t>sequences with 3-9</w:t>
      </w:r>
      <w:r w:rsidR="00CF3C8F">
        <w:rPr>
          <w:rFonts w:ascii="Arial" w:hAnsi="Arial"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>1-2</w:t>
      </w:r>
      <w:r w:rsidR="00CF3C8F">
        <w:rPr>
          <w:rFonts w:ascii="Arial" w:hAnsi="Arial"/>
          <w:color w:val="000000"/>
          <w:sz w:val="22"/>
        </w:rPr>
        <w:t xml:space="preserve"> or 0</w:t>
      </w:r>
      <w:r>
        <w:rPr>
          <w:rFonts w:ascii="Arial" w:hAnsi="Arial"/>
          <w:color w:val="000000"/>
          <w:sz w:val="22"/>
        </w:rPr>
        <w:t xml:space="preserve"> substitutions</w:t>
      </w:r>
      <w:r w:rsidR="00CF3C8F">
        <w:rPr>
          <w:rFonts w:ascii="Arial" w:hAnsi="Arial"/>
          <w:color w:val="000000"/>
          <w:sz w:val="22"/>
        </w:rPr>
        <w:t xml:space="preserve"> normalized against the total number of</w:t>
      </w:r>
      <w:r>
        <w:rPr>
          <w:rFonts w:ascii="Arial" w:hAnsi="Arial"/>
          <w:color w:val="000000"/>
          <w:sz w:val="22"/>
        </w:rPr>
        <w:t xml:space="preserve"> reads mapping to the genome</w:t>
      </w:r>
      <w:r w:rsidR="001C0290">
        <w:rPr>
          <w:rFonts w:ascii="Arial" w:hAnsi="Arial"/>
          <w:color w:val="000000"/>
          <w:sz w:val="22"/>
        </w:rPr>
        <w:t xml:space="preserve"> </w:t>
      </w:r>
      <w:r w:rsidR="004C65F8">
        <w:rPr>
          <w:rFonts w:ascii="Arial" w:hAnsi="Arial"/>
          <w:color w:val="000000"/>
          <w:sz w:val="22"/>
        </w:rPr>
        <w:t>per million</w:t>
      </w:r>
      <w:r w:rsidR="001C0290">
        <w:rPr>
          <w:rFonts w:ascii="Arial" w:hAnsi="Arial"/>
          <w:color w:val="000000"/>
          <w:sz w:val="22"/>
        </w:rPr>
        <w:t>.</w:t>
      </w:r>
    </w:p>
    <w:p w:rsidR="00AA751E" w:rsidRDefault="00AA751E" w:rsidP="003157F8">
      <w:pPr>
        <w:spacing w:line="480" w:lineRule="auto"/>
        <w:jc w:val="both"/>
        <w:rPr>
          <w:rFonts w:ascii="Arial" w:hAnsi="Arial"/>
          <w:color w:val="000000"/>
          <w:sz w:val="22"/>
        </w:rPr>
      </w:pPr>
    </w:p>
    <w:p w:rsidR="00AA751E" w:rsidRDefault="00AA751E" w:rsidP="00AA751E">
      <w:pPr>
        <w:spacing w:line="480" w:lineRule="auto"/>
        <w:jc w:val="both"/>
        <w:rPr>
          <w:rFonts w:ascii="Arial" w:hAnsi="Arial"/>
          <w:color w:val="000000"/>
          <w:sz w:val="22"/>
          <w:lang w:val="en-GB"/>
        </w:rPr>
      </w:pPr>
      <w:r w:rsidRPr="00B507E8">
        <w:rPr>
          <w:rFonts w:ascii="Arial" w:hAnsi="Arial"/>
          <w:b/>
          <w:color w:val="000000"/>
          <w:sz w:val="22"/>
          <w:lang w:val="en-GB"/>
        </w:rPr>
        <w:t xml:space="preserve">Figure </w:t>
      </w:r>
      <w:r>
        <w:rPr>
          <w:rFonts w:ascii="Arial" w:hAnsi="Arial"/>
          <w:b/>
          <w:color w:val="000000"/>
          <w:sz w:val="22"/>
          <w:lang w:val="en-GB"/>
        </w:rPr>
        <w:t>S4</w:t>
      </w:r>
      <w:r w:rsidRPr="00B507E8">
        <w:rPr>
          <w:rFonts w:ascii="Arial" w:hAnsi="Arial"/>
          <w:b/>
          <w:color w:val="000000"/>
          <w:sz w:val="22"/>
          <w:lang w:val="en-GB"/>
        </w:rPr>
        <w:t xml:space="preserve">. </w:t>
      </w:r>
      <w:r>
        <w:rPr>
          <w:rFonts w:ascii="Arial" w:hAnsi="Arial"/>
          <w:b/>
          <w:color w:val="000000"/>
          <w:sz w:val="22"/>
          <w:lang w:val="en-GB"/>
        </w:rPr>
        <w:t xml:space="preserve">Expression patterns of microRNAs of different evolutionary rates throughout the development of </w:t>
      </w:r>
      <w:r w:rsidRPr="00B507E8">
        <w:rPr>
          <w:rFonts w:ascii="Arial" w:hAnsi="Arial"/>
          <w:b/>
          <w:i/>
          <w:color w:val="000000"/>
          <w:sz w:val="22"/>
          <w:lang w:val="en-GB"/>
        </w:rPr>
        <w:t xml:space="preserve">D. </w:t>
      </w:r>
      <w:r>
        <w:rPr>
          <w:rFonts w:ascii="Arial" w:hAnsi="Arial"/>
          <w:b/>
          <w:i/>
          <w:color w:val="000000"/>
          <w:sz w:val="22"/>
          <w:lang w:val="en-GB"/>
        </w:rPr>
        <w:t>melanogaster</w:t>
      </w:r>
      <w:r w:rsidRPr="00B507E8">
        <w:rPr>
          <w:rFonts w:ascii="Arial" w:hAnsi="Arial"/>
          <w:b/>
          <w:color w:val="000000"/>
          <w:sz w:val="22"/>
          <w:lang w:val="en-GB"/>
        </w:rPr>
        <w:t xml:space="preserve">. </w:t>
      </w:r>
      <w:r w:rsidR="004C65F8">
        <w:rPr>
          <w:rFonts w:ascii="Arial" w:hAnsi="Arial"/>
          <w:color w:val="000000"/>
          <w:sz w:val="22"/>
          <w:lang w:val="en-GB"/>
        </w:rPr>
        <w:t xml:space="preserve">Data is retrieved from the GEO database (see Supplementary Table </w:t>
      </w:r>
      <w:r w:rsidR="00A55C82">
        <w:rPr>
          <w:rFonts w:ascii="Arial" w:hAnsi="Arial"/>
          <w:color w:val="000000"/>
          <w:sz w:val="22"/>
          <w:lang w:val="en-GB"/>
        </w:rPr>
        <w:t>3</w:t>
      </w:r>
      <w:r w:rsidR="004C65F8">
        <w:rPr>
          <w:rFonts w:ascii="Arial" w:hAnsi="Arial"/>
          <w:color w:val="000000"/>
          <w:sz w:val="22"/>
          <w:lang w:val="en-GB"/>
        </w:rPr>
        <w:t>).</w:t>
      </w:r>
      <w:r w:rsidRPr="00B507E8">
        <w:rPr>
          <w:rFonts w:ascii="Arial" w:hAnsi="Arial"/>
          <w:color w:val="000000"/>
          <w:sz w:val="22"/>
          <w:lang w:val="en-GB"/>
        </w:rPr>
        <w:t xml:space="preserve"> Stages are labelled as follows: </w:t>
      </w:r>
      <w:r w:rsidRPr="00B507E8">
        <w:rPr>
          <w:rFonts w:ascii="Arial" w:hAnsi="Arial"/>
          <w:color w:val="000000"/>
          <w:sz w:val="22"/>
        </w:rPr>
        <w:t>0-</w:t>
      </w:r>
      <w:r>
        <w:rPr>
          <w:rFonts w:ascii="Arial" w:hAnsi="Arial"/>
          <w:color w:val="000000"/>
          <w:sz w:val="22"/>
        </w:rPr>
        <w:t>1</w:t>
      </w:r>
      <w:r w:rsidRPr="00B507E8">
        <w:rPr>
          <w:rFonts w:ascii="Arial" w:hAnsi="Arial"/>
          <w:color w:val="000000"/>
          <w:sz w:val="22"/>
        </w:rPr>
        <w:t>h embryo (e0), 2-</w:t>
      </w:r>
      <w:r>
        <w:rPr>
          <w:rFonts w:ascii="Arial" w:hAnsi="Arial"/>
          <w:color w:val="000000"/>
          <w:sz w:val="22"/>
        </w:rPr>
        <w:t>6h embryo (e2), etc., 6-10h embryo (e</w:t>
      </w:r>
      <w:r w:rsidRPr="00B507E8">
        <w:rPr>
          <w:rFonts w:ascii="Arial" w:hAnsi="Arial"/>
          <w:color w:val="000000"/>
          <w:sz w:val="22"/>
        </w:rPr>
        <w:t>6),</w:t>
      </w:r>
      <w:r>
        <w:rPr>
          <w:rFonts w:ascii="Arial" w:hAnsi="Arial"/>
          <w:color w:val="000000"/>
          <w:sz w:val="22"/>
        </w:rPr>
        <w:t xml:space="preserve"> 12-24h embryos (e12),</w:t>
      </w:r>
      <w:r w:rsidRPr="00B507E8">
        <w:rPr>
          <w:rFonts w:ascii="Arial" w:hAnsi="Arial"/>
          <w:color w:val="000000"/>
          <w:sz w:val="22"/>
        </w:rPr>
        <w:t xml:space="preserve"> larvae and adults</w:t>
      </w:r>
      <w:r>
        <w:rPr>
          <w:rFonts w:ascii="Arial" w:hAnsi="Arial"/>
          <w:color w:val="000000"/>
          <w:sz w:val="22"/>
        </w:rPr>
        <w:t xml:space="preserve">. </w:t>
      </w:r>
      <w:r w:rsidRPr="00BF0178">
        <w:rPr>
          <w:rFonts w:ascii="Arial" w:hAnsi="Arial"/>
          <w:b/>
          <w:color w:val="000000"/>
          <w:sz w:val="22"/>
        </w:rPr>
        <w:t>A.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Relative expression levels of microRNAs with low, medium and high evolutionary rates for the whole hairpin at each stage of development. </w:t>
      </w:r>
      <w:r>
        <w:rPr>
          <w:rFonts w:ascii="Arial" w:hAnsi="Arial"/>
          <w:b/>
          <w:color w:val="000000"/>
          <w:sz w:val="22"/>
        </w:rPr>
        <w:t xml:space="preserve">B. </w:t>
      </w:r>
      <w:r>
        <w:rPr>
          <w:rFonts w:ascii="Arial" w:hAnsi="Arial"/>
          <w:color w:val="000000"/>
          <w:sz w:val="22"/>
        </w:rPr>
        <w:t>Relative expression levels of mature microRNAs with low, medium and high evolutionary rates at each stage of development.</w:t>
      </w:r>
      <w:r>
        <w:rPr>
          <w:rFonts w:ascii="Arial" w:hAnsi="Arial"/>
          <w:color w:val="000000"/>
          <w:sz w:val="22"/>
          <w:lang w:val="en-GB"/>
        </w:rPr>
        <w:t xml:space="preserve"> </w:t>
      </w:r>
      <w:r w:rsidRPr="00BF0178">
        <w:rPr>
          <w:rFonts w:ascii="Arial" w:hAnsi="Arial"/>
          <w:b/>
          <w:color w:val="000000"/>
          <w:sz w:val="22"/>
          <w:lang w:val="en-GB"/>
        </w:rPr>
        <w:t>C</w:t>
      </w:r>
      <w:r>
        <w:rPr>
          <w:rFonts w:ascii="Arial" w:hAnsi="Arial"/>
          <w:color w:val="000000"/>
          <w:sz w:val="22"/>
          <w:lang w:val="en-GB"/>
        </w:rPr>
        <w:t xml:space="preserve">. Correlation of microRNA evolutionary rates at the level of the whole hairpin and the mature sequences and microRNA expression levels throughout development. </w:t>
      </w:r>
      <w:r w:rsidRPr="00B507E8">
        <w:rPr>
          <w:rFonts w:ascii="Arial" w:hAnsi="Arial"/>
          <w:color w:val="000000"/>
          <w:sz w:val="22"/>
          <w:lang w:val="en-GB"/>
        </w:rPr>
        <w:t>Vertical axes represent Spearman’</w:t>
      </w:r>
      <w:r>
        <w:rPr>
          <w:rFonts w:ascii="Arial" w:hAnsi="Arial"/>
          <w:color w:val="000000"/>
          <w:sz w:val="22"/>
          <w:lang w:val="en-GB"/>
        </w:rPr>
        <w:t xml:space="preserve">s correlation coefficient (rho) obtained for each stage; values </w:t>
      </w:r>
      <w:r w:rsidRPr="00B507E8">
        <w:rPr>
          <w:rFonts w:ascii="Arial" w:hAnsi="Arial"/>
          <w:color w:val="000000"/>
          <w:sz w:val="22"/>
          <w:lang w:val="en-GB"/>
        </w:rPr>
        <w:t>are statistically significant (p&lt;0.0</w:t>
      </w:r>
      <w:r>
        <w:rPr>
          <w:rFonts w:ascii="Arial" w:hAnsi="Arial"/>
          <w:color w:val="000000"/>
          <w:sz w:val="22"/>
          <w:lang w:val="en-GB"/>
        </w:rPr>
        <w:t>5).</w:t>
      </w:r>
      <w:r w:rsidR="00AE7FA8">
        <w:rPr>
          <w:rFonts w:ascii="Arial" w:hAnsi="Arial"/>
          <w:color w:val="000000"/>
          <w:sz w:val="22"/>
          <w:lang w:val="en-GB"/>
        </w:rPr>
        <w:t xml:space="preserve"> </w:t>
      </w:r>
      <w:r w:rsidR="00A109F4" w:rsidRPr="00A109F4">
        <w:rPr>
          <w:rFonts w:ascii="Arial" w:hAnsi="Arial"/>
          <w:b/>
          <w:color w:val="000000"/>
          <w:sz w:val="22"/>
          <w:lang w:val="en-GB"/>
        </w:rPr>
        <w:t>D.</w:t>
      </w:r>
      <w:r w:rsidR="00AE7FA8">
        <w:rPr>
          <w:rFonts w:ascii="Arial" w:hAnsi="Arial"/>
          <w:color w:val="000000"/>
          <w:sz w:val="22"/>
          <w:lang w:val="en-GB"/>
        </w:rPr>
        <w:t xml:space="preserve"> Expression levels of microRNAs of mature microRNAs with high (3-9) number of substitutions. Heatmap reflects the expression levels of each fast evolving microRNA throughout development. MicroRNAs are sorted by their total expression level in all libraries shown on the right</w:t>
      </w:r>
      <w:r w:rsidR="001721C9">
        <w:rPr>
          <w:rFonts w:ascii="Arial" w:hAnsi="Arial"/>
          <w:color w:val="000000"/>
          <w:sz w:val="22"/>
          <w:lang w:val="en-GB"/>
        </w:rPr>
        <w:t>, and microRNAs with negligible total expression levels of below 1000 RPM are not shown</w:t>
      </w:r>
      <w:r w:rsidR="00AE7FA8">
        <w:rPr>
          <w:rFonts w:ascii="Arial" w:hAnsi="Arial"/>
          <w:color w:val="000000"/>
          <w:sz w:val="22"/>
          <w:lang w:val="en-GB"/>
        </w:rPr>
        <w:t xml:space="preserve">. </w:t>
      </w:r>
    </w:p>
    <w:p w:rsidR="003157F8" w:rsidRPr="005D2D79" w:rsidRDefault="003157F8" w:rsidP="003157F8">
      <w:pPr>
        <w:spacing w:line="480" w:lineRule="auto"/>
        <w:jc w:val="both"/>
        <w:rPr>
          <w:rFonts w:ascii="Arial" w:hAnsi="Arial"/>
          <w:color w:val="000000"/>
          <w:sz w:val="22"/>
        </w:rPr>
      </w:pPr>
    </w:p>
    <w:p w:rsidR="003157F8" w:rsidRPr="005D2D79" w:rsidRDefault="003157F8" w:rsidP="003157F8">
      <w:pPr>
        <w:spacing w:line="480" w:lineRule="auto"/>
        <w:jc w:val="both"/>
        <w:rPr>
          <w:rFonts w:ascii="Arial" w:hAnsi="Arial"/>
          <w:color w:val="000000"/>
          <w:sz w:val="22"/>
          <w:lang w:val="en-GB"/>
        </w:rPr>
      </w:pPr>
      <w:r w:rsidRPr="005D2D79">
        <w:rPr>
          <w:rFonts w:ascii="Arial" w:hAnsi="Arial"/>
          <w:b/>
          <w:sz w:val="22"/>
        </w:rPr>
        <w:t>Figure S</w:t>
      </w:r>
      <w:r w:rsidR="00AA751E">
        <w:rPr>
          <w:rFonts w:ascii="Arial" w:hAnsi="Arial"/>
          <w:b/>
          <w:sz w:val="22"/>
        </w:rPr>
        <w:t>5</w:t>
      </w:r>
      <w:r w:rsidRPr="005D2D79">
        <w:rPr>
          <w:rFonts w:ascii="Arial" w:hAnsi="Arial"/>
          <w:b/>
          <w:sz w:val="22"/>
        </w:rPr>
        <w:t xml:space="preserve">. </w:t>
      </w:r>
      <w:r w:rsidRPr="005D2D79">
        <w:rPr>
          <w:rFonts w:ascii="Arial" w:hAnsi="Arial"/>
          <w:b/>
          <w:color w:val="000000"/>
          <w:sz w:val="22"/>
          <w:lang w:val="en-GB"/>
        </w:rPr>
        <w:t xml:space="preserve">Transcriptome age index (TAI, top) and transcriptome divergence index (TDI, bottom) for microRNAs throughout </w:t>
      </w:r>
      <w:r w:rsidRPr="005D2D79">
        <w:rPr>
          <w:rFonts w:ascii="Arial" w:hAnsi="Arial"/>
          <w:b/>
          <w:i/>
          <w:color w:val="000000"/>
          <w:sz w:val="22"/>
          <w:lang w:val="en-GB"/>
        </w:rPr>
        <w:t>D.melanogaster</w:t>
      </w:r>
      <w:r w:rsidRPr="005D2D79">
        <w:rPr>
          <w:rFonts w:ascii="Arial" w:hAnsi="Arial"/>
          <w:b/>
          <w:color w:val="000000"/>
          <w:sz w:val="22"/>
          <w:lang w:val="en-GB"/>
        </w:rPr>
        <w:t xml:space="preserve"> and </w:t>
      </w:r>
      <w:r w:rsidRPr="005D2D79">
        <w:rPr>
          <w:rFonts w:ascii="Arial" w:hAnsi="Arial"/>
          <w:b/>
          <w:i/>
          <w:color w:val="000000"/>
          <w:sz w:val="22"/>
          <w:lang w:val="en-GB"/>
        </w:rPr>
        <w:t>D.virilis</w:t>
      </w:r>
      <w:r w:rsidRPr="005D2D79">
        <w:rPr>
          <w:rFonts w:ascii="Arial" w:hAnsi="Arial"/>
          <w:b/>
          <w:color w:val="000000"/>
          <w:sz w:val="22"/>
          <w:lang w:val="en-GB"/>
        </w:rPr>
        <w:t xml:space="preserve"> development.</w:t>
      </w:r>
      <w:r w:rsidRPr="005D2D79">
        <w:rPr>
          <w:rFonts w:ascii="Arial" w:hAnsi="Arial"/>
          <w:color w:val="000000"/>
          <w:sz w:val="22"/>
          <w:lang w:val="en-GB"/>
        </w:rPr>
        <w:t xml:space="preserve"> Stages are labelled as follows: </w:t>
      </w:r>
      <w:r w:rsidRPr="005D2D79">
        <w:rPr>
          <w:rFonts w:ascii="Arial" w:hAnsi="Arial"/>
          <w:color w:val="000000"/>
          <w:sz w:val="22"/>
        </w:rPr>
        <w:t xml:space="preserve">0-2h embryo (e0), 2-4h embryo (e2), etc., 16-30h embryo (e16), larvae and adults in </w:t>
      </w:r>
      <w:r w:rsidRPr="005D2D79">
        <w:rPr>
          <w:rFonts w:ascii="Arial" w:hAnsi="Arial"/>
          <w:i/>
          <w:color w:val="000000"/>
          <w:sz w:val="22"/>
        </w:rPr>
        <w:t>D. virilis</w:t>
      </w:r>
      <w:r w:rsidRPr="005D2D79">
        <w:rPr>
          <w:rFonts w:ascii="Arial" w:hAnsi="Arial"/>
          <w:color w:val="000000"/>
          <w:sz w:val="22"/>
        </w:rPr>
        <w:t xml:space="preserve">, and 0-1h (e0), 2-6h (e2), 6-10h (e6), 12-24h (e12), larvae and adults in </w:t>
      </w:r>
      <w:r w:rsidRPr="005D2D79">
        <w:rPr>
          <w:rFonts w:ascii="Arial" w:hAnsi="Arial"/>
          <w:i/>
          <w:color w:val="000000"/>
          <w:sz w:val="22"/>
        </w:rPr>
        <w:t>D. melanogaster</w:t>
      </w:r>
      <w:r w:rsidRPr="005D2D79">
        <w:rPr>
          <w:rFonts w:ascii="Arial" w:hAnsi="Arial"/>
          <w:color w:val="000000"/>
          <w:sz w:val="22"/>
        </w:rPr>
        <w:t xml:space="preserve">. Vertical axes represent TAI and TDI, as determined by the method described in </w:t>
      </w:r>
      <w:r w:rsidR="00141893" w:rsidRPr="00141893">
        <w:rPr>
          <w:rFonts w:ascii="Arial" w:hAnsi="Arial"/>
          <w:noProof/>
          <w:color w:val="000000"/>
          <w:sz w:val="22"/>
          <w:lang w:val="en-GB"/>
        </w:rPr>
        <w:t>(Domazet-Loso et al. 2010; Quint et al. 2012)</w:t>
      </w:r>
      <w:r w:rsidRPr="005D2D79">
        <w:rPr>
          <w:rFonts w:ascii="Arial" w:hAnsi="Arial"/>
          <w:color w:val="000000"/>
          <w:sz w:val="22"/>
          <w:lang w:val="en-GB"/>
        </w:rPr>
        <w:t>.</w:t>
      </w:r>
      <w:r w:rsidR="00410CB1">
        <w:rPr>
          <w:rFonts w:ascii="Arial" w:hAnsi="Arial"/>
          <w:color w:val="000000"/>
          <w:sz w:val="22"/>
          <w:lang w:val="en-GB"/>
        </w:rPr>
        <w:t xml:space="preserve"> Dashed lines indicate ± the standard deviation of TAI and TDI determined by bootstrapping. </w:t>
      </w:r>
    </w:p>
    <w:p w:rsidR="003157F8" w:rsidRPr="005D2D79" w:rsidRDefault="003157F8" w:rsidP="003157F8">
      <w:pPr>
        <w:spacing w:line="480" w:lineRule="auto"/>
        <w:jc w:val="both"/>
        <w:rPr>
          <w:rFonts w:ascii="Arial" w:hAnsi="Arial"/>
          <w:color w:val="000000"/>
          <w:sz w:val="22"/>
          <w:lang w:val="en-GB"/>
        </w:rPr>
      </w:pPr>
    </w:p>
    <w:p w:rsidR="006651E7" w:rsidRDefault="003157F8" w:rsidP="0036787F">
      <w:pPr>
        <w:spacing w:line="480" w:lineRule="auto"/>
        <w:jc w:val="both"/>
        <w:rPr>
          <w:rFonts w:ascii="Arial" w:hAnsi="Arial"/>
          <w:color w:val="000000"/>
          <w:sz w:val="22"/>
          <w:szCs w:val="21"/>
        </w:rPr>
      </w:pPr>
      <w:r w:rsidRPr="005D2D79">
        <w:rPr>
          <w:rFonts w:ascii="Arial" w:hAnsi="Arial"/>
          <w:b/>
          <w:color w:val="000000"/>
          <w:sz w:val="22"/>
          <w:lang w:val="en-GB"/>
        </w:rPr>
        <w:t>Figure S</w:t>
      </w:r>
      <w:r w:rsidR="00AA751E">
        <w:rPr>
          <w:rFonts w:ascii="Arial" w:hAnsi="Arial"/>
          <w:b/>
          <w:color w:val="000000"/>
          <w:sz w:val="22"/>
          <w:lang w:val="en-GB"/>
        </w:rPr>
        <w:t>6</w:t>
      </w:r>
      <w:r w:rsidRPr="005D2D79">
        <w:rPr>
          <w:rFonts w:ascii="Arial" w:hAnsi="Arial"/>
          <w:b/>
          <w:color w:val="000000"/>
          <w:sz w:val="22"/>
          <w:lang w:val="en-GB"/>
        </w:rPr>
        <w:t xml:space="preserve">. </w:t>
      </w:r>
      <w:r w:rsidRPr="005D2D79">
        <w:rPr>
          <w:rFonts w:ascii="Arial" w:hAnsi="Arial"/>
          <w:b/>
          <w:color w:val="000000"/>
          <w:sz w:val="22"/>
          <w:szCs w:val="21"/>
        </w:rPr>
        <w:t>Seq</w:t>
      </w:r>
      <w:r w:rsidR="009C05BC">
        <w:rPr>
          <w:rFonts w:ascii="Arial" w:hAnsi="Arial"/>
          <w:b/>
          <w:color w:val="000000"/>
          <w:sz w:val="22"/>
          <w:szCs w:val="21"/>
        </w:rPr>
        <w:t>uence conservation of the mir-309</w:t>
      </w:r>
      <w:r w:rsidRPr="005D2D79">
        <w:rPr>
          <w:rFonts w:ascii="Arial" w:hAnsi="Arial"/>
          <w:b/>
          <w:color w:val="000000"/>
          <w:sz w:val="22"/>
          <w:szCs w:val="21"/>
        </w:rPr>
        <w:t xml:space="preserve">~6 cluster and its upstream region in </w:t>
      </w:r>
      <w:r w:rsidRPr="005D2D79">
        <w:rPr>
          <w:rFonts w:ascii="Arial" w:hAnsi="Arial"/>
          <w:b/>
          <w:i/>
          <w:color w:val="000000"/>
          <w:sz w:val="22"/>
          <w:szCs w:val="21"/>
        </w:rPr>
        <w:t>D.melanogaster</w:t>
      </w:r>
      <w:r w:rsidRPr="005D2D79">
        <w:rPr>
          <w:rFonts w:ascii="Arial" w:hAnsi="Arial"/>
          <w:b/>
          <w:color w:val="000000"/>
          <w:sz w:val="22"/>
          <w:szCs w:val="21"/>
        </w:rPr>
        <w:t xml:space="preserve"> and </w:t>
      </w:r>
      <w:r w:rsidRPr="005D2D79">
        <w:rPr>
          <w:rFonts w:ascii="Arial" w:hAnsi="Arial"/>
          <w:b/>
          <w:i/>
          <w:color w:val="000000"/>
          <w:sz w:val="22"/>
          <w:szCs w:val="21"/>
        </w:rPr>
        <w:t>D.virilis</w:t>
      </w:r>
      <w:r w:rsidRPr="005D2D79">
        <w:rPr>
          <w:rFonts w:ascii="Arial" w:hAnsi="Arial"/>
          <w:b/>
          <w:color w:val="000000"/>
          <w:sz w:val="22"/>
          <w:szCs w:val="21"/>
        </w:rPr>
        <w:t>.</w:t>
      </w:r>
      <w:r w:rsidRPr="005D2D79">
        <w:rPr>
          <w:rFonts w:ascii="Arial" w:hAnsi="Arial"/>
          <w:color w:val="000000"/>
          <w:sz w:val="22"/>
          <w:szCs w:val="21"/>
        </w:rPr>
        <w:t xml:space="preserve"> A region encompassing mir-309~6 primary transcript and enhancer region </w:t>
      </w:r>
      <w:r w:rsidR="00141893" w:rsidRPr="00141893">
        <w:rPr>
          <w:rFonts w:ascii="Arial" w:hAnsi="Arial"/>
          <w:noProof/>
          <w:color w:val="000000"/>
          <w:sz w:val="22"/>
          <w:szCs w:val="21"/>
        </w:rPr>
        <w:t>(Biemar et al. 2005)</w:t>
      </w:r>
      <w:r w:rsidRPr="005D2D79">
        <w:rPr>
          <w:rFonts w:ascii="Arial" w:hAnsi="Arial"/>
          <w:color w:val="000000"/>
          <w:sz w:val="22"/>
          <w:szCs w:val="21"/>
        </w:rPr>
        <w:t xml:space="preserve"> up to the neighboring gene is aligned to the homologous region in </w:t>
      </w:r>
      <w:r w:rsidRPr="005D2D79">
        <w:rPr>
          <w:rFonts w:ascii="Arial" w:hAnsi="Arial"/>
          <w:i/>
          <w:color w:val="000000"/>
          <w:sz w:val="22"/>
          <w:szCs w:val="21"/>
        </w:rPr>
        <w:t>D.virilis</w:t>
      </w:r>
      <w:r w:rsidRPr="005D2D79">
        <w:rPr>
          <w:rFonts w:ascii="Arial" w:hAnsi="Arial"/>
          <w:color w:val="000000"/>
          <w:sz w:val="22"/>
          <w:szCs w:val="21"/>
        </w:rPr>
        <w:t xml:space="preserve">. Histogram indicates the regions of high sequence similarity (size window 20bp, minimum conserved width 20bp), with regions with similarity &gt;70% in color. Evident are highly conserved regions upstream the primary transcript, including conserved TAGteam binding sites in both species. Graph generated in Vista browser </w:t>
      </w:r>
      <w:r w:rsidR="00141893" w:rsidRPr="00141893">
        <w:rPr>
          <w:rFonts w:ascii="Arial" w:hAnsi="Arial"/>
          <w:noProof/>
          <w:color w:val="000000"/>
          <w:sz w:val="22"/>
          <w:szCs w:val="21"/>
        </w:rPr>
        <w:t>(Mayor et al. 2000)</w:t>
      </w:r>
      <w:r w:rsidRPr="005D2D79">
        <w:rPr>
          <w:rFonts w:ascii="Arial" w:hAnsi="Arial"/>
          <w:color w:val="000000"/>
          <w:sz w:val="22"/>
          <w:szCs w:val="21"/>
        </w:rPr>
        <w:t>.</w:t>
      </w:r>
    </w:p>
    <w:p w:rsidR="00D85332" w:rsidRDefault="00D85332" w:rsidP="0036787F">
      <w:pPr>
        <w:spacing w:line="480" w:lineRule="auto"/>
        <w:jc w:val="both"/>
        <w:rPr>
          <w:rFonts w:ascii="Arial" w:hAnsi="Arial"/>
          <w:color w:val="000000"/>
          <w:sz w:val="22"/>
          <w:szCs w:val="21"/>
        </w:rPr>
      </w:pPr>
    </w:p>
    <w:p w:rsidR="00D85332" w:rsidRPr="00D85332" w:rsidRDefault="00D85332" w:rsidP="0036787F">
      <w:pPr>
        <w:spacing w:line="480" w:lineRule="auto"/>
        <w:jc w:val="both"/>
        <w:rPr>
          <w:rFonts w:ascii="Arial" w:hAnsi="Arial"/>
          <w:b/>
          <w:color w:val="000000"/>
          <w:sz w:val="22"/>
          <w:szCs w:val="21"/>
        </w:rPr>
      </w:pPr>
      <w:r w:rsidRPr="00D85332">
        <w:rPr>
          <w:rFonts w:ascii="Arial" w:hAnsi="Arial"/>
          <w:b/>
          <w:color w:val="000000"/>
          <w:sz w:val="22"/>
          <w:szCs w:val="21"/>
        </w:rPr>
        <w:t>References</w:t>
      </w:r>
    </w:p>
    <w:p w:rsidR="00141893" w:rsidRPr="00141893" w:rsidRDefault="00141893">
      <w:pPr>
        <w:divId w:val="1743328777"/>
        <w:rPr>
          <w:sz w:val="22"/>
        </w:rPr>
      </w:pPr>
    </w:p>
    <w:p w:rsidR="00141893" w:rsidRPr="00141893" w:rsidRDefault="00141893">
      <w:pPr>
        <w:pStyle w:val="NormalWeb"/>
        <w:spacing w:before="2" w:after="2"/>
        <w:ind w:left="480" w:hanging="480"/>
        <w:divId w:val="1743328777"/>
        <w:rPr>
          <w:sz w:val="22"/>
        </w:rPr>
      </w:pPr>
      <w:r w:rsidRPr="00141893">
        <w:rPr>
          <w:sz w:val="22"/>
        </w:rPr>
        <w:t xml:space="preserve">Biemar F, Zinzen R, Ronshaugen M, Sementchenko V, Manak JR, Levine MS. 2005. Spatial regulation of microRNA gene expression in the Drosophila embryo. </w:t>
      </w:r>
      <w:r w:rsidRPr="00141893">
        <w:rPr>
          <w:i/>
          <w:sz w:val="22"/>
        </w:rPr>
        <w:t>Proc Natl Acad Sci U S A</w:t>
      </w:r>
      <w:r w:rsidRPr="00141893">
        <w:rPr>
          <w:sz w:val="22"/>
        </w:rPr>
        <w:t xml:space="preserve"> </w:t>
      </w:r>
      <w:r w:rsidRPr="00141893">
        <w:rPr>
          <w:b/>
          <w:sz w:val="22"/>
        </w:rPr>
        <w:t>102</w:t>
      </w:r>
      <w:r w:rsidRPr="00141893">
        <w:rPr>
          <w:sz w:val="22"/>
        </w:rPr>
        <w:t>: 15907–11.</w:t>
      </w:r>
    </w:p>
    <w:p w:rsidR="00141893" w:rsidRPr="00141893" w:rsidRDefault="00141893">
      <w:pPr>
        <w:pStyle w:val="NormalWeb"/>
        <w:spacing w:before="2" w:after="2"/>
        <w:ind w:left="480" w:hanging="480"/>
        <w:divId w:val="1743328777"/>
        <w:rPr>
          <w:sz w:val="22"/>
        </w:rPr>
      </w:pPr>
      <w:r w:rsidRPr="00141893">
        <w:rPr>
          <w:sz w:val="22"/>
        </w:rPr>
        <w:t xml:space="preserve">Domazet-Loso T, Tautz D, Domazet-Lošo T. 2010. A phylogenetically based transcriptome age index mirrors ontogenetic divergence patterns. </w:t>
      </w:r>
      <w:r w:rsidRPr="00141893">
        <w:rPr>
          <w:i/>
          <w:sz w:val="22"/>
        </w:rPr>
        <w:t>Nature</w:t>
      </w:r>
      <w:r w:rsidRPr="00141893">
        <w:rPr>
          <w:sz w:val="22"/>
        </w:rPr>
        <w:t xml:space="preserve"> </w:t>
      </w:r>
      <w:r w:rsidRPr="00141893">
        <w:rPr>
          <w:b/>
          <w:sz w:val="22"/>
        </w:rPr>
        <w:t>468</w:t>
      </w:r>
      <w:r w:rsidRPr="00141893">
        <w:rPr>
          <w:sz w:val="22"/>
        </w:rPr>
        <w:t>: 815–8.</w:t>
      </w:r>
    </w:p>
    <w:p w:rsidR="00141893" w:rsidRPr="00141893" w:rsidRDefault="00141893">
      <w:pPr>
        <w:pStyle w:val="NormalWeb"/>
        <w:spacing w:before="2" w:after="2"/>
        <w:ind w:left="480" w:hanging="480"/>
        <w:divId w:val="1743328777"/>
        <w:rPr>
          <w:sz w:val="22"/>
        </w:rPr>
      </w:pPr>
      <w:r w:rsidRPr="00141893">
        <w:rPr>
          <w:sz w:val="22"/>
        </w:rPr>
        <w:t xml:space="preserve">Friedländer MR, Chen W, Adamidi C, Maaskola J, Einspanier R, Knespel S, Rajewsky N. 2008. Discovering microRNAs from deep sequencing data using miRDeep. </w:t>
      </w:r>
      <w:r w:rsidRPr="00141893">
        <w:rPr>
          <w:i/>
          <w:sz w:val="22"/>
        </w:rPr>
        <w:t>Nat Biotechnol</w:t>
      </w:r>
      <w:r w:rsidRPr="00141893">
        <w:rPr>
          <w:sz w:val="22"/>
        </w:rPr>
        <w:t xml:space="preserve"> </w:t>
      </w:r>
      <w:r w:rsidRPr="00141893">
        <w:rPr>
          <w:b/>
          <w:sz w:val="22"/>
        </w:rPr>
        <w:t>26</w:t>
      </w:r>
      <w:r w:rsidRPr="00141893">
        <w:rPr>
          <w:sz w:val="22"/>
        </w:rPr>
        <w:t>: 407–15.</w:t>
      </w:r>
    </w:p>
    <w:p w:rsidR="00141893" w:rsidRPr="00141893" w:rsidRDefault="00141893">
      <w:pPr>
        <w:pStyle w:val="NormalWeb"/>
        <w:spacing w:before="2" w:after="2"/>
        <w:ind w:left="480" w:hanging="480"/>
        <w:divId w:val="1743328777"/>
        <w:rPr>
          <w:sz w:val="22"/>
        </w:rPr>
      </w:pPr>
      <w:r w:rsidRPr="00141893">
        <w:rPr>
          <w:sz w:val="22"/>
        </w:rPr>
        <w:t>Mayor C, Brudno M, Schwartz JR, Poliakov A, Rubin EM, Frazer K a, Pachter LS, Dubchak I. 2000. VISTA</w:t>
      </w:r>
      <w:r w:rsidRPr="00141893">
        <w:rPr>
          <w:rFonts w:ascii="Monaco" w:hAnsi="Monaco" w:cs="Monaco"/>
          <w:sz w:val="22"/>
        </w:rPr>
        <w:t> </w:t>
      </w:r>
      <w:r w:rsidRPr="00141893">
        <w:rPr>
          <w:sz w:val="22"/>
        </w:rPr>
        <w:t xml:space="preserve">: visualizing global DNA sequence alignments of arbitrary length. </w:t>
      </w:r>
      <w:r w:rsidRPr="00141893">
        <w:rPr>
          <w:i/>
          <w:sz w:val="22"/>
        </w:rPr>
        <w:t>Bioinformatics</w:t>
      </w:r>
      <w:r w:rsidRPr="00141893">
        <w:rPr>
          <w:sz w:val="22"/>
        </w:rPr>
        <w:t xml:space="preserve"> </w:t>
      </w:r>
      <w:r w:rsidRPr="00141893">
        <w:rPr>
          <w:b/>
          <w:sz w:val="22"/>
        </w:rPr>
        <w:t>16</w:t>
      </w:r>
      <w:r w:rsidRPr="00141893">
        <w:rPr>
          <w:sz w:val="22"/>
        </w:rPr>
        <w:t>: 1046–7.</w:t>
      </w:r>
    </w:p>
    <w:p w:rsidR="00141893" w:rsidRPr="00141893" w:rsidRDefault="00141893">
      <w:pPr>
        <w:pStyle w:val="NormalWeb"/>
        <w:spacing w:before="2" w:after="2"/>
        <w:ind w:left="480" w:hanging="480"/>
        <w:divId w:val="1743328777"/>
        <w:rPr>
          <w:sz w:val="22"/>
        </w:rPr>
      </w:pPr>
      <w:r w:rsidRPr="00141893">
        <w:rPr>
          <w:sz w:val="22"/>
        </w:rPr>
        <w:t xml:space="preserve">Quint M, Drost H-G, Gabel A, Ullrich KK, Bönn M, Grosse I. 2012. A transcriptomic hourglass in plant embryogenesis. </w:t>
      </w:r>
      <w:r w:rsidRPr="00141893">
        <w:rPr>
          <w:i/>
          <w:sz w:val="22"/>
        </w:rPr>
        <w:t>Nature</w:t>
      </w:r>
      <w:r w:rsidRPr="00141893">
        <w:rPr>
          <w:sz w:val="22"/>
        </w:rPr>
        <w:t xml:space="preserve"> </w:t>
      </w:r>
      <w:r w:rsidRPr="00141893">
        <w:rPr>
          <w:b/>
          <w:sz w:val="22"/>
        </w:rPr>
        <w:t>490</w:t>
      </w:r>
      <w:r w:rsidRPr="00141893">
        <w:rPr>
          <w:sz w:val="22"/>
        </w:rPr>
        <w:t>: 98–101.</w:t>
      </w:r>
    </w:p>
    <w:p w:rsidR="00DF2B72" w:rsidRPr="005D2D79" w:rsidRDefault="000A68D9" w:rsidP="0036787F">
      <w:pPr>
        <w:spacing w:line="480" w:lineRule="auto"/>
        <w:jc w:val="both"/>
        <w:rPr>
          <w:rFonts w:ascii="Arial" w:hAnsi="Arial"/>
          <w:color w:val="000000"/>
          <w:sz w:val="22"/>
          <w:szCs w:val="21"/>
        </w:rPr>
      </w:pPr>
    </w:p>
    <w:sectPr w:rsidR="00DF2B72" w:rsidRPr="005D2D79" w:rsidSect="00644968">
      <w:footerReference w:type="even" r:id="rId4"/>
      <w:footerReference w:type="default" r:id="rId5"/>
      <w:pgSz w:w="11899" w:h="16840"/>
      <w:pgMar w:top="1440" w:right="1797" w:bottom="1440" w:left="1797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6BBE" w:rsidRDefault="00A109F4" w:rsidP="00107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57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BBE" w:rsidRDefault="000A68D9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6BBE" w:rsidRPr="00D22349" w:rsidRDefault="00A109F4" w:rsidP="00107B68">
    <w:pPr>
      <w:pStyle w:val="Footer"/>
      <w:framePr w:wrap="around" w:vAnchor="text" w:hAnchor="margin" w:xAlign="center" w:y="1"/>
      <w:rPr>
        <w:rStyle w:val="PageNumber"/>
      </w:rPr>
    </w:pPr>
    <w:r w:rsidRPr="00D22349">
      <w:rPr>
        <w:rStyle w:val="PageNumber"/>
        <w:rFonts w:ascii="Arial" w:hAnsi="Arial"/>
        <w:sz w:val="20"/>
      </w:rPr>
      <w:fldChar w:fldCharType="begin"/>
    </w:r>
    <w:r w:rsidR="003157F8" w:rsidRPr="00D22349">
      <w:rPr>
        <w:rStyle w:val="PageNumber"/>
        <w:rFonts w:ascii="Arial" w:hAnsi="Arial"/>
        <w:sz w:val="20"/>
      </w:rPr>
      <w:instrText xml:space="preserve">PAGE  </w:instrText>
    </w:r>
    <w:r w:rsidRPr="00D22349">
      <w:rPr>
        <w:rStyle w:val="PageNumber"/>
        <w:rFonts w:ascii="Arial" w:hAnsi="Arial"/>
        <w:sz w:val="20"/>
      </w:rPr>
      <w:fldChar w:fldCharType="separate"/>
    </w:r>
    <w:r w:rsidR="000A68D9">
      <w:rPr>
        <w:rStyle w:val="PageNumber"/>
        <w:rFonts w:ascii="Arial" w:hAnsi="Arial"/>
        <w:noProof/>
        <w:sz w:val="20"/>
      </w:rPr>
      <w:t>3</w:t>
    </w:r>
    <w:r w:rsidRPr="00D22349">
      <w:rPr>
        <w:rStyle w:val="PageNumber"/>
        <w:rFonts w:ascii="Arial" w:hAnsi="Arial"/>
        <w:sz w:val="20"/>
      </w:rPr>
      <w:fldChar w:fldCharType="end"/>
    </w:r>
  </w:p>
  <w:p w:rsidR="00216BBE" w:rsidRDefault="000A68D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157F8"/>
    <w:rsid w:val="000A68D9"/>
    <w:rsid w:val="000F43DD"/>
    <w:rsid w:val="00115ED1"/>
    <w:rsid w:val="00141893"/>
    <w:rsid w:val="001721C9"/>
    <w:rsid w:val="00181684"/>
    <w:rsid w:val="001C0290"/>
    <w:rsid w:val="001D4DD6"/>
    <w:rsid w:val="00281024"/>
    <w:rsid w:val="0030710E"/>
    <w:rsid w:val="003157F8"/>
    <w:rsid w:val="0036787F"/>
    <w:rsid w:val="00410CB1"/>
    <w:rsid w:val="004C65F8"/>
    <w:rsid w:val="0055189B"/>
    <w:rsid w:val="005D2D79"/>
    <w:rsid w:val="00630226"/>
    <w:rsid w:val="006651E7"/>
    <w:rsid w:val="006B472C"/>
    <w:rsid w:val="0086665E"/>
    <w:rsid w:val="008A779E"/>
    <w:rsid w:val="009124AB"/>
    <w:rsid w:val="00970C21"/>
    <w:rsid w:val="00973B0B"/>
    <w:rsid w:val="009C05BC"/>
    <w:rsid w:val="009D32BA"/>
    <w:rsid w:val="00A109F4"/>
    <w:rsid w:val="00A55C82"/>
    <w:rsid w:val="00AA751E"/>
    <w:rsid w:val="00AE7FA8"/>
    <w:rsid w:val="00C176A9"/>
    <w:rsid w:val="00CF3C8F"/>
    <w:rsid w:val="00D85332"/>
    <w:rsid w:val="00E257BA"/>
    <w:rsid w:val="00FA59B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F8"/>
    <w:rPr>
      <w:rFonts w:eastAsiaTheme="minorEastAsia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157F8"/>
    <w:pPr>
      <w:ind w:left="720"/>
      <w:contextualSpacing/>
    </w:pPr>
  </w:style>
  <w:style w:type="paragraph" w:styleId="Footer">
    <w:name w:val="footer"/>
    <w:basedOn w:val="Normal"/>
    <w:link w:val="FooterChar"/>
    <w:rsid w:val="003157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57F8"/>
    <w:rPr>
      <w:rFonts w:eastAsiaTheme="minorEastAsia"/>
      <w:lang w:eastAsia="ja-JP"/>
    </w:rPr>
  </w:style>
  <w:style w:type="character" w:styleId="PageNumber">
    <w:name w:val="page number"/>
    <w:basedOn w:val="DefaultParagraphFont"/>
    <w:rsid w:val="003157F8"/>
  </w:style>
  <w:style w:type="paragraph" w:styleId="NormalWeb">
    <w:name w:val="Normal (Web)"/>
    <w:basedOn w:val="Normal"/>
    <w:uiPriority w:val="99"/>
    <w:rsid w:val="00D85332"/>
    <w:pPr>
      <w:spacing w:beforeLines="1" w:afterLines="1"/>
    </w:pPr>
    <w:rPr>
      <w:rFonts w:ascii="Times" w:hAnsi="Times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A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A8"/>
    <w:rPr>
      <w:rFonts w:ascii="Lucida Grande" w:eastAsiaTheme="minorEastAsia" w:hAnsi="Lucida Grande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668</Words>
  <Characters>3812</Characters>
  <Application>Microsoft Word 12.0.0</Application>
  <DocSecurity>0</DocSecurity>
  <Lines>31</Lines>
  <Paragraphs>7</Paragraphs>
  <ScaleCrop>false</ScaleCrop>
  <Company>University of Manchester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Ninova</dc:creator>
  <cp:keywords/>
  <cp:lastModifiedBy>Sam Griffiths-Jones</cp:lastModifiedBy>
  <cp:revision>22</cp:revision>
  <dcterms:created xsi:type="dcterms:W3CDTF">2013-05-03T12:23:00Z</dcterms:created>
  <dcterms:modified xsi:type="dcterms:W3CDTF">2013-10-25T10:58:00Z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False</vt:lpwstr>
  </property>
  <property fmtid="{D5CDD505-2E9C-101B-9397-08002B2CF9AE}" pid="3" name="Mendeley Citation Style_1">
    <vt:lpwstr>http://www.zotero.org/styles/rna</vt:lpwstr>
  </property>
  <property fmtid="{D5CDD505-2E9C-101B-9397-08002B2CF9AE}" pid="4" name="Mendeley User Name_1">
    <vt:lpwstr>begemotche@gmail.com@www.mendeley.com</vt:lpwstr>
  </property>
</Properties>
</file>