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B5" w:rsidRDefault="000A09B5" w:rsidP="000A09B5">
      <w:pPr>
        <w:spacing w:line="480" w:lineRule="auto"/>
        <w:rPr>
          <w:rFonts w:ascii="Times" w:hAnsi="Times"/>
          <w:b/>
        </w:rPr>
      </w:pPr>
      <w:r>
        <w:rPr>
          <w:rFonts w:ascii="Times" w:hAnsi="Times"/>
          <w:b/>
        </w:rPr>
        <w:t>Supplemental Figures</w:t>
      </w:r>
    </w:p>
    <w:p w:rsidR="000A09B5" w:rsidRDefault="000A09B5" w:rsidP="000A09B5">
      <w:pPr>
        <w:spacing w:line="480" w:lineRule="auto"/>
        <w:rPr>
          <w:rFonts w:ascii="Times" w:hAnsi="Times"/>
          <w:b/>
        </w:rPr>
      </w:pPr>
    </w:p>
    <w:p w:rsidR="000A09B5" w:rsidRDefault="000A09B5" w:rsidP="000A09B5">
      <w:pPr>
        <w:spacing w:line="480" w:lineRule="auto"/>
        <w:rPr>
          <w:rFonts w:ascii="Times" w:eastAsia="MS PMincho" w:hAnsi="Times"/>
        </w:rPr>
      </w:pPr>
      <w:r>
        <w:rPr>
          <w:rFonts w:ascii="Times" w:hAnsi="Times"/>
          <w:b/>
        </w:rPr>
        <w:t>FIGURE</w:t>
      </w:r>
      <w:r w:rsidRPr="00D92972">
        <w:rPr>
          <w:rFonts w:ascii="Times" w:hAnsi="Times"/>
          <w:b/>
        </w:rPr>
        <w:t xml:space="preserve"> S1</w:t>
      </w:r>
      <w:r>
        <w:rPr>
          <w:rFonts w:ascii="Times" w:hAnsi="Times"/>
          <w:b/>
        </w:rPr>
        <w:t xml:space="preserve">. </w:t>
      </w:r>
      <w:r w:rsidRPr="00F47E1C">
        <w:rPr>
          <w:rFonts w:ascii="Times" w:eastAsia="MS PMincho" w:hAnsi="Times"/>
        </w:rPr>
        <w:t xml:space="preserve">Temperature profile of </w:t>
      </w:r>
      <w:r>
        <w:rPr>
          <w:rFonts w:ascii="Times" w:eastAsia="MS PMincho" w:hAnsi="Times"/>
        </w:rPr>
        <w:t xml:space="preserve">RT activity for TeI4f-MRF, TeI4h*-MRF, GsI-IIB-MRF, and </w:t>
      </w:r>
      <w:r w:rsidRPr="00F47E1C">
        <w:rPr>
          <w:rFonts w:ascii="Times" w:eastAsia="MS PMincho" w:hAnsi="Times"/>
        </w:rPr>
        <w:t>TeI4c-NRF RT</w:t>
      </w:r>
      <w:r>
        <w:rPr>
          <w:rFonts w:ascii="Times" w:eastAsia="MS PMincho" w:hAnsi="Times"/>
        </w:rPr>
        <w:t>s. P</w:t>
      </w:r>
      <w:r w:rsidRPr="00F47E1C">
        <w:rPr>
          <w:rFonts w:ascii="Times" w:eastAsia="MS PMincho" w:hAnsi="Times"/>
        </w:rPr>
        <w:t>oly(rA)/oligo(dT)</w:t>
      </w:r>
      <w:r w:rsidRPr="00F47E1C">
        <w:rPr>
          <w:rFonts w:ascii="Times" w:eastAsia="MS PMincho" w:hAnsi="Times"/>
          <w:vertAlign w:val="subscript"/>
        </w:rPr>
        <w:t>42</w:t>
      </w:r>
      <w:r w:rsidRPr="00F47E1C">
        <w:rPr>
          <w:rFonts w:ascii="Times" w:eastAsia="MS PMincho" w:hAnsi="Times"/>
        </w:rPr>
        <w:t xml:space="preserve"> </w:t>
      </w:r>
      <w:r>
        <w:rPr>
          <w:rFonts w:ascii="Times" w:eastAsia="MS PMincho" w:hAnsi="Times"/>
        </w:rPr>
        <w:t xml:space="preserve">(100 nM) and </w:t>
      </w:r>
      <w:r w:rsidRPr="00F47E1C">
        <w:rPr>
          <w:rFonts w:ascii="Times" w:eastAsia="MS PMincho" w:hAnsi="Times"/>
        </w:rPr>
        <w:t>[</w:t>
      </w:r>
      <w:r w:rsidRPr="00F47E1C">
        <w:rPr>
          <w:rFonts w:ascii="Times" w:eastAsia="MS PMincho" w:hAnsi="Times"/>
        </w:rPr>
        <w:sym w:font="Symbol" w:char="F061"/>
      </w:r>
      <w:r w:rsidRPr="00F47E1C">
        <w:rPr>
          <w:rFonts w:ascii="Times" w:eastAsia="MS PMincho" w:hAnsi="Times"/>
        </w:rPr>
        <w:t>-</w:t>
      </w:r>
      <w:r w:rsidRPr="00F47E1C">
        <w:rPr>
          <w:rFonts w:ascii="Times" w:eastAsia="MS PMincho" w:hAnsi="Times"/>
          <w:vertAlign w:val="superscript"/>
        </w:rPr>
        <w:t>32</w:t>
      </w:r>
      <w:r w:rsidRPr="00F47E1C">
        <w:rPr>
          <w:rFonts w:ascii="Times" w:eastAsia="MS PMincho" w:hAnsi="Times"/>
        </w:rPr>
        <w:t xml:space="preserve">P]-dTTP </w:t>
      </w:r>
      <w:r>
        <w:rPr>
          <w:rFonts w:ascii="Times" w:eastAsia="MS PMincho" w:hAnsi="Times"/>
        </w:rPr>
        <w:t xml:space="preserve">(5 </w:t>
      </w:r>
      <w:r>
        <w:rPr>
          <w:rFonts w:ascii="Times" w:eastAsia="MS PMincho" w:hAnsi="Times"/>
        </w:rPr>
        <w:sym w:font="Symbol" w:char="F06D"/>
      </w:r>
      <w:r>
        <w:rPr>
          <w:rFonts w:ascii="Times" w:eastAsia="MS PMincho" w:hAnsi="Times"/>
        </w:rPr>
        <w:t xml:space="preserve">Ci; 3,000 Ci/mmole) were incubated </w:t>
      </w:r>
      <w:r w:rsidRPr="00F47E1C">
        <w:rPr>
          <w:rFonts w:ascii="Times" w:eastAsia="MS PMincho" w:hAnsi="Times"/>
        </w:rPr>
        <w:t xml:space="preserve">with </w:t>
      </w:r>
      <w:r>
        <w:rPr>
          <w:rFonts w:ascii="Times" w:eastAsia="MS PMincho" w:hAnsi="Times"/>
        </w:rPr>
        <w:t>TeI4f-MRF, TeI4h-MRF*, or GsI-IIB-</w:t>
      </w:r>
      <w:r w:rsidRPr="004154F7">
        <w:rPr>
          <w:rFonts w:ascii="Times" w:eastAsia="MS PMincho" w:hAnsi="Times"/>
        </w:rPr>
        <w:t>MRF RTs (100 nM, 5 min) or TeI4c-NRF RT (100 nM, 2 min) at the indicated temperature. Polymeriza</w:t>
      </w:r>
      <w:r w:rsidRPr="00F47E1C">
        <w:rPr>
          <w:rFonts w:ascii="Times" w:eastAsia="MS PMincho" w:hAnsi="Times"/>
        </w:rPr>
        <w:t>tion of [</w:t>
      </w:r>
      <w:r w:rsidRPr="00F47E1C">
        <w:rPr>
          <w:rFonts w:ascii="Times" w:eastAsia="MS PMincho" w:hAnsi="Times"/>
          <w:vertAlign w:val="superscript"/>
        </w:rPr>
        <w:t>32</w:t>
      </w:r>
      <w:r w:rsidRPr="00F47E1C">
        <w:rPr>
          <w:rFonts w:ascii="Times" w:eastAsia="MS PMincho" w:hAnsi="Times"/>
        </w:rPr>
        <w:t xml:space="preserve">P]-dTTP was measured by binding </w:t>
      </w:r>
      <w:r>
        <w:rPr>
          <w:rFonts w:ascii="Times" w:eastAsia="MS PMincho" w:hAnsi="Times"/>
        </w:rPr>
        <w:t xml:space="preserve">the labeled </w:t>
      </w:r>
      <w:r w:rsidRPr="00F47E1C">
        <w:rPr>
          <w:rFonts w:ascii="Times" w:eastAsia="MS PMincho" w:hAnsi="Times"/>
        </w:rPr>
        <w:t>products to Whatman DE81 paper and quantifying with a PhosphorImager. The plot shows radioactivity bound to the filter (counts) as a function of reaction temperature.</w:t>
      </w:r>
    </w:p>
    <w:p w:rsidR="000A09B5" w:rsidRDefault="000A09B5" w:rsidP="000A09B5">
      <w:pPr>
        <w:spacing w:line="480" w:lineRule="auto"/>
        <w:rPr>
          <w:rFonts w:ascii="Times" w:eastAsia="MS PMincho" w:hAnsi="Times"/>
        </w:rPr>
      </w:pPr>
    </w:p>
    <w:p w:rsidR="000A09B5" w:rsidRPr="00333301" w:rsidRDefault="000A09B5" w:rsidP="000A09B5">
      <w:pPr>
        <w:spacing w:line="480" w:lineRule="auto"/>
        <w:rPr>
          <w:rFonts w:ascii="Times" w:eastAsia="MS PMincho" w:hAnsi="Times"/>
        </w:rPr>
      </w:pPr>
      <w:r>
        <w:rPr>
          <w:rFonts w:ascii="Times" w:eastAsia="MS PMincho" w:hAnsi="Times"/>
          <w:b/>
        </w:rPr>
        <w:t>FIGURE</w:t>
      </w:r>
      <w:r w:rsidRPr="00D92972">
        <w:rPr>
          <w:rFonts w:ascii="Times" w:eastAsia="MS PMincho" w:hAnsi="Times"/>
          <w:b/>
        </w:rPr>
        <w:t xml:space="preserve"> S2.</w:t>
      </w:r>
      <w:r>
        <w:rPr>
          <w:rFonts w:ascii="Times" w:eastAsia="MS PMincho" w:hAnsi="Times"/>
          <w:b/>
        </w:rPr>
        <w:t xml:space="preserve"> </w:t>
      </w:r>
      <w:r w:rsidRPr="000F1550">
        <w:rPr>
          <w:rFonts w:ascii="Times" w:eastAsia="MS PMincho" w:hAnsi="Times"/>
          <w:color w:val="000000" w:themeColor="text1"/>
        </w:rPr>
        <w:t>Gel assays of cDNA synthesis by the TeI4c</w:t>
      </w:r>
      <w:r>
        <w:rPr>
          <w:rFonts w:ascii="Times" w:eastAsia="MS PMincho" w:hAnsi="Times"/>
          <w:color w:val="000000" w:themeColor="text1"/>
        </w:rPr>
        <w:t>-MRF</w:t>
      </w:r>
      <w:r w:rsidRPr="000F1550">
        <w:rPr>
          <w:rFonts w:ascii="Times" w:eastAsia="MS PMincho" w:hAnsi="Times"/>
          <w:color w:val="000000" w:themeColor="text1"/>
        </w:rPr>
        <w:t>, GsI-IIC</w:t>
      </w:r>
      <w:r>
        <w:rPr>
          <w:rFonts w:ascii="Times" w:eastAsia="MS PMincho" w:hAnsi="Times"/>
          <w:color w:val="000000" w:themeColor="text1"/>
        </w:rPr>
        <w:t>-MRF</w:t>
      </w:r>
      <w:r w:rsidRPr="000F1550">
        <w:rPr>
          <w:rFonts w:ascii="Times" w:eastAsia="MS PMincho" w:hAnsi="Times"/>
          <w:color w:val="000000" w:themeColor="text1"/>
        </w:rPr>
        <w:t>, and SuperScript III RTs.</w:t>
      </w:r>
      <w:r>
        <w:rPr>
          <w:rFonts w:ascii="Times" w:eastAsia="MS PMincho" w:hAnsi="Times"/>
          <w:color w:val="FF0000"/>
        </w:rPr>
        <w:t xml:space="preserve"> </w:t>
      </w:r>
      <w:r w:rsidRPr="000F1550">
        <w:rPr>
          <w:rFonts w:ascii="Times" w:eastAsia="MS PMincho" w:hAnsi="Times"/>
          <w:color w:val="000000" w:themeColor="text1"/>
        </w:rPr>
        <w:t xml:space="preserve">The figure </w:t>
      </w:r>
      <w:r w:rsidRPr="00333301">
        <w:rPr>
          <w:rFonts w:ascii="Times" w:eastAsia="MS PMincho" w:hAnsi="Times"/>
        </w:rPr>
        <w:t xml:space="preserve">shows the top </w:t>
      </w:r>
      <w:r>
        <w:rPr>
          <w:rFonts w:ascii="Times" w:eastAsia="MS PMincho" w:hAnsi="Times"/>
        </w:rPr>
        <w:t xml:space="preserve">(full-length cDNAs) </w:t>
      </w:r>
      <w:r w:rsidRPr="00333301">
        <w:rPr>
          <w:rFonts w:ascii="Times" w:eastAsia="MS PMincho" w:hAnsi="Times"/>
        </w:rPr>
        <w:t xml:space="preserve">and bottom </w:t>
      </w:r>
      <w:r>
        <w:rPr>
          <w:rFonts w:ascii="Times" w:eastAsia="MS PMincho" w:hAnsi="Times"/>
        </w:rPr>
        <w:t>(</w:t>
      </w:r>
      <w:r w:rsidRPr="005E679C">
        <w:rPr>
          <w:rFonts w:ascii="Times" w:eastAsia="MS PMincho" w:hAnsi="Times"/>
          <w:vertAlign w:val="superscript"/>
        </w:rPr>
        <w:t>32</w:t>
      </w:r>
      <w:r>
        <w:rPr>
          <w:rFonts w:ascii="Times" w:eastAsia="MS PMincho" w:hAnsi="Times"/>
        </w:rPr>
        <w:t xml:space="preserve">P-labeled primer) </w:t>
      </w:r>
      <w:r w:rsidRPr="00333301">
        <w:rPr>
          <w:rFonts w:ascii="Times" w:eastAsia="MS PMincho" w:hAnsi="Times"/>
        </w:rPr>
        <w:t>panels of the gels for which only the top panel</w:t>
      </w:r>
      <w:r>
        <w:rPr>
          <w:rFonts w:ascii="Times" w:eastAsia="MS PMincho" w:hAnsi="Times"/>
        </w:rPr>
        <w:t>s are</w:t>
      </w:r>
      <w:r w:rsidRPr="00333301">
        <w:rPr>
          <w:rFonts w:ascii="Times" w:eastAsia="MS PMincho" w:hAnsi="Times"/>
        </w:rPr>
        <w:t xml:space="preserve"> shown in Fig. 2. The arrowheads to the right of the gel indicate the positions of the full-length cDNA product, and the numbers to the left indicate the positions of size markers.</w:t>
      </w:r>
    </w:p>
    <w:p w:rsidR="000A09B5" w:rsidRPr="00333301" w:rsidRDefault="000A09B5" w:rsidP="000A09B5">
      <w:pPr>
        <w:spacing w:line="480" w:lineRule="auto"/>
        <w:rPr>
          <w:rFonts w:ascii="Times" w:eastAsia="MS PMincho" w:hAnsi="Times"/>
        </w:rPr>
      </w:pPr>
    </w:p>
    <w:p w:rsidR="000A09B5" w:rsidRPr="00F47E1C" w:rsidRDefault="000A09B5" w:rsidP="000A09B5">
      <w:pPr>
        <w:spacing w:line="480" w:lineRule="auto"/>
        <w:rPr>
          <w:rFonts w:ascii="Times" w:hAnsi="Times"/>
        </w:rPr>
      </w:pPr>
      <w:r>
        <w:rPr>
          <w:rFonts w:ascii="Times" w:eastAsia="MS PMincho" w:hAnsi="Times"/>
          <w:b/>
        </w:rPr>
        <w:t>FIGURE S3.</w:t>
      </w:r>
      <w:r w:rsidRPr="00F47E1C">
        <w:rPr>
          <w:rFonts w:ascii="Times" w:hAnsi="Times"/>
          <w:b/>
        </w:rPr>
        <w:t xml:space="preserve"> </w:t>
      </w:r>
      <w:r w:rsidRPr="00F47E1C">
        <w:rPr>
          <w:rFonts w:ascii="Times" w:hAnsi="Times"/>
        </w:rPr>
        <w:t xml:space="preserve">Sequencing of HeLa and MCF-7 RNA libraries generated with TeI4c-MRF RT. The RNA-seq libraries were the </w:t>
      </w:r>
      <w:r>
        <w:rPr>
          <w:rFonts w:ascii="Times" w:hAnsi="Times"/>
        </w:rPr>
        <w:t>same as in Fig. 5</w:t>
      </w:r>
      <w:r w:rsidRPr="00F47E1C">
        <w:rPr>
          <w:rFonts w:ascii="Times" w:hAnsi="Times"/>
        </w:rPr>
        <w:t xml:space="preserve"> and were generated from HeLa and MCF-7 RNAs by annealing a oligo(dT)</w:t>
      </w:r>
      <w:r w:rsidRPr="00F47E1C">
        <w:rPr>
          <w:rFonts w:ascii="Times" w:hAnsi="Times"/>
          <w:vertAlign w:val="subscript"/>
        </w:rPr>
        <w:t>42</w:t>
      </w:r>
      <w:r w:rsidRPr="00F47E1C">
        <w:rPr>
          <w:rFonts w:ascii="Times" w:hAnsi="Times"/>
        </w:rPr>
        <w:t xml:space="preserve"> primer, reverse transcribing with TeI4c-MRF RT, and synthesizing the second-strand DNA strand by using an NEBNext Second-Strand Synthesis kit</w:t>
      </w:r>
      <w:r>
        <w:rPr>
          <w:rFonts w:ascii="Times" w:hAnsi="Times"/>
        </w:rPr>
        <w:t xml:space="preserve"> (New England Biolabs)</w:t>
      </w:r>
      <w:r w:rsidRPr="00F47E1C">
        <w:rPr>
          <w:rFonts w:ascii="Times" w:hAnsi="Times"/>
        </w:rPr>
        <w:t xml:space="preserve">. The double-strand cDNA libraries were converted to sequencing libraries </w:t>
      </w:r>
      <w:r>
        <w:rPr>
          <w:rFonts w:ascii="Times" w:hAnsi="Times"/>
        </w:rPr>
        <w:t xml:space="preserve">by </w:t>
      </w:r>
      <w:r w:rsidRPr="00F47E1C">
        <w:rPr>
          <w:rFonts w:ascii="Times" w:hAnsi="Times"/>
        </w:rPr>
        <w:t>using the NEBNext DNA Master Mix set 3, according to manufacturer’s instructions, and paired-end sequen</w:t>
      </w:r>
      <w:r>
        <w:rPr>
          <w:rFonts w:ascii="Times" w:hAnsi="Times"/>
        </w:rPr>
        <w:t>ced on a SOLiD 4 instrument (Applied Biosystems</w:t>
      </w:r>
      <w:r w:rsidRPr="00F47E1C">
        <w:rPr>
          <w:rFonts w:ascii="Times" w:hAnsi="Times"/>
        </w:rPr>
        <w:t xml:space="preserve">). After aligning reads using BioScope v.1.2 to the longest isoforms of each annotated gene from RefSeq (downloaded 11/2010), the </w:t>
      </w:r>
      <w:r w:rsidRPr="00F47E1C">
        <w:rPr>
          <w:rFonts w:ascii="Times" w:hAnsi="Times"/>
        </w:rPr>
        <w:lastRenderedPageBreak/>
        <w:t>distribution of reads per unit length for transcripts of different size classes were plotted for the same curated set of</w:t>
      </w:r>
      <w:r>
        <w:rPr>
          <w:rFonts w:ascii="Times" w:hAnsi="Times"/>
        </w:rPr>
        <w:t xml:space="preserve"> RefSeq transcripts as in Fig. 5</w:t>
      </w:r>
      <w:r w:rsidRPr="00F47E1C">
        <w:rPr>
          <w:rFonts w:ascii="Times" w:hAnsi="Times"/>
        </w:rPr>
        <w:t>.</w:t>
      </w:r>
    </w:p>
    <w:p w:rsidR="000A09B5" w:rsidRPr="00F47E1C" w:rsidRDefault="000A09B5" w:rsidP="000A09B5">
      <w:pPr>
        <w:spacing w:line="480" w:lineRule="auto"/>
        <w:rPr>
          <w:rFonts w:ascii="Times" w:hAnsi="Times"/>
        </w:rPr>
      </w:pPr>
    </w:p>
    <w:p w:rsidR="000A09B5" w:rsidRPr="006B6975" w:rsidRDefault="000A09B5" w:rsidP="000A09B5">
      <w:pPr>
        <w:spacing w:line="480" w:lineRule="auto"/>
        <w:rPr>
          <w:rFonts w:ascii="Times" w:eastAsia="MS PMincho" w:hAnsi="Times"/>
        </w:rPr>
      </w:pPr>
      <w:r>
        <w:rPr>
          <w:rFonts w:ascii="Times" w:hAnsi="Times"/>
          <w:b/>
        </w:rPr>
        <w:t>Fig. S4.</w:t>
      </w:r>
      <w:r w:rsidRPr="00F47E1C">
        <w:rPr>
          <w:rFonts w:ascii="Times" w:hAnsi="Times"/>
        </w:rPr>
        <w:t xml:space="preserve"> </w:t>
      </w:r>
      <w:r w:rsidRPr="00F47E1C">
        <w:rPr>
          <w:rFonts w:ascii="Times" w:eastAsia="MS PMincho" w:hAnsi="Times"/>
        </w:rPr>
        <w:t>Sequences of cDNAs synthesized via TeI4c-MRF RT template-switching from the IA-P1 RNA/Pc DNA template/primer substrate to miRNAx</w:t>
      </w:r>
      <w:r>
        <w:rPr>
          <w:rFonts w:ascii="Times" w:eastAsia="MS PMincho" w:hAnsi="Times"/>
        </w:rPr>
        <w:t xml:space="preserve"> with two randomized nucleotide residues at each end</w:t>
      </w:r>
      <w:r w:rsidRPr="00F47E1C">
        <w:rPr>
          <w:rFonts w:ascii="Times" w:eastAsia="MS PMincho" w:hAnsi="Times"/>
        </w:rPr>
        <w:t>. Reverse transcription reactions with the TeI4</w:t>
      </w:r>
      <w:r>
        <w:rPr>
          <w:rFonts w:ascii="Times" w:eastAsia="MS PMincho" w:hAnsi="Times"/>
        </w:rPr>
        <w:t>c-MRF RT were done as in Fig. 6</w:t>
      </w:r>
      <w:r w:rsidRPr="005E679C">
        <w:rPr>
          <w:rFonts w:ascii="Times" w:eastAsia="MS PMincho" w:hAnsi="Times"/>
        </w:rPr>
        <w:t>A</w:t>
      </w:r>
      <w:r w:rsidRPr="00F47E1C">
        <w:rPr>
          <w:rFonts w:ascii="Times" w:eastAsia="MS PMincho" w:hAnsi="Times"/>
        </w:rPr>
        <w:t>, and the resulting cDNAs were cloned and s</w:t>
      </w:r>
      <w:r>
        <w:rPr>
          <w:rFonts w:ascii="Times" w:eastAsia="MS PMincho" w:hAnsi="Times"/>
        </w:rPr>
        <w:t>equenced as described in Fig. 6</w:t>
      </w:r>
      <w:r w:rsidRPr="005E679C">
        <w:rPr>
          <w:rFonts w:ascii="Times" w:eastAsia="MS PMincho" w:hAnsi="Times"/>
        </w:rPr>
        <w:t>B</w:t>
      </w:r>
      <w:r w:rsidRPr="00F47E1C">
        <w:rPr>
          <w:rFonts w:ascii="Times" w:eastAsia="MS PMincho" w:hAnsi="Times"/>
        </w:rPr>
        <w:t xml:space="preserve">. After circularization with CircLigase I, the cDNAs were amplified by PCR with the </w:t>
      </w:r>
      <w:r>
        <w:rPr>
          <w:rFonts w:ascii="Times" w:eastAsia="MS PMincho" w:hAnsi="Times"/>
        </w:rPr>
        <w:t>SOLiD</w:t>
      </w:r>
      <w:r w:rsidRPr="00F47E1C">
        <w:rPr>
          <w:rFonts w:ascii="Times" w:eastAsia="MS PMincho" w:hAnsi="Times"/>
        </w:rPr>
        <w:t xml:space="preserve"> 5’ and 3’ primers, TA cloned, and Sanger sequenced with th</w:t>
      </w:r>
      <w:r>
        <w:rPr>
          <w:rFonts w:ascii="Times" w:eastAsia="MS PMincho" w:hAnsi="Times"/>
        </w:rPr>
        <w:t>e M13(-20)F primer</w:t>
      </w:r>
      <w:r w:rsidRPr="00F47E1C">
        <w:rPr>
          <w:rFonts w:ascii="Times" w:eastAsia="MS PMincho" w:hAnsi="Times"/>
        </w:rPr>
        <w:t>. The randomized 5’- and 3’-nucleotide positions of the miRNA are shown in dark and light blue, respectively. Mutant nucleotide residues are shown in lower-case letters, and non-templated nucleotide residues are sho</w:t>
      </w:r>
      <w:r>
        <w:rPr>
          <w:rFonts w:ascii="Times" w:eastAsia="MS PMincho" w:hAnsi="Times"/>
        </w:rPr>
        <w:t xml:space="preserve">wn in bold lower-case letters. </w:t>
      </w:r>
      <w:r w:rsidRPr="00A74223">
        <w:rPr>
          <w:rFonts w:ascii="Times" w:eastAsia="MS PMincho" w:hAnsi="Times"/>
          <w:color w:val="000000" w:themeColor="text1"/>
        </w:rPr>
        <w:t>X</w:t>
      </w:r>
      <w:r w:rsidRPr="00F47E1C">
        <w:rPr>
          <w:rFonts w:ascii="Times" w:eastAsia="MS PMincho" w:hAnsi="Times"/>
        </w:rPr>
        <w:t>, indicates nucleotides that could not be identified unambiguously.</w:t>
      </w:r>
    </w:p>
    <w:p w:rsidR="008420E3" w:rsidRDefault="008420E3">
      <w:bookmarkStart w:id="0" w:name="_GoBack"/>
      <w:bookmarkEnd w:id="0"/>
    </w:p>
    <w:sectPr w:rsidR="008420E3" w:rsidSect="003E7708">
      <w:footerReference w:type="even" r:id="rId5"/>
      <w:footerReference w:type="default" r:id="rId6"/>
      <w:pgSz w:w="12240" w:h="15840"/>
      <w:pgMar w:top="1440" w:right="1152" w:bottom="1440" w:left="1440" w:header="14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48" w:rsidRDefault="000A09B5" w:rsidP="003E7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C48" w:rsidRDefault="000A09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48" w:rsidRDefault="000A09B5" w:rsidP="003E7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4C48" w:rsidRDefault="000A09B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B5"/>
    <w:rsid w:val="000A09B5"/>
    <w:rsid w:val="001D080F"/>
    <w:rsid w:val="0027073C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A09B5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A09B5"/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0A09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A09B5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A09B5"/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0A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Macintosh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2013-04-30T13:48:00Z</dcterms:created>
  <dcterms:modified xsi:type="dcterms:W3CDTF">2013-04-30T13:48:00Z</dcterms:modified>
</cp:coreProperties>
</file>