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3F2" w:rsidRPr="00E80826" w:rsidRDefault="008613F2" w:rsidP="008613F2">
      <w:pPr>
        <w:pStyle w:val="Heading1"/>
        <w:rPr>
          <w:rFonts w:cs="Arial"/>
        </w:rPr>
      </w:pPr>
      <w:r w:rsidRPr="00E80826">
        <w:rPr>
          <w:rFonts w:cs="Arial"/>
        </w:rPr>
        <w:t>Supplementary Material</w:t>
      </w:r>
    </w:p>
    <w:p w:rsidR="008613F2" w:rsidRPr="00E80826" w:rsidRDefault="008613F2" w:rsidP="008613F2">
      <w:pPr>
        <w:pStyle w:val="Heading2"/>
        <w:rPr>
          <w:rFonts w:cs="Arial"/>
        </w:rPr>
      </w:pPr>
      <w:r w:rsidRPr="00E80826">
        <w:rPr>
          <w:rFonts w:cs="Arial"/>
        </w:rPr>
        <w:t>Supplementary Figure S1</w:t>
      </w:r>
    </w:p>
    <w:p w:rsidR="008613F2" w:rsidRPr="00E80826" w:rsidRDefault="008613F2" w:rsidP="008613F2">
      <w:pPr>
        <w:rPr>
          <w:rFonts w:cs="Arial"/>
        </w:rPr>
      </w:pPr>
      <w:proofErr w:type="gramStart"/>
      <w:r w:rsidRPr="00E80826">
        <w:rPr>
          <w:rFonts w:cs="Arial"/>
        </w:rPr>
        <w:t xml:space="preserve">Effect of </w:t>
      </w:r>
      <w:proofErr w:type="spellStart"/>
      <w:r w:rsidRPr="00E80826">
        <w:rPr>
          <w:rFonts w:cs="Arial"/>
        </w:rPr>
        <w:t>RNAi</w:t>
      </w:r>
      <w:proofErr w:type="spellEnd"/>
      <w:r w:rsidRPr="00E80826">
        <w:rPr>
          <w:rFonts w:cs="Arial"/>
        </w:rPr>
        <w:t xml:space="preserve"> on the half-lives of bulk trypanosome mRNA.</w:t>
      </w:r>
      <w:proofErr w:type="gramEnd"/>
      <w:r w:rsidRPr="00E80826">
        <w:rPr>
          <w:rFonts w:cs="Arial"/>
        </w:rPr>
        <w:t xml:space="preserve"> </w:t>
      </w:r>
    </w:p>
    <w:p w:rsidR="008613F2" w:rsidRPr="00E80826" w:rsidRDefault="008613F2" w:rsidP="008613F2">
      <w:pPr>
        <w:rPr>
          <w:rFonts w:cs="Arial"/>
        </w:rPr>
      </w:pPr>
      <w:r w:rsidRPr="00E80826">
        <w:rPr>
          <w:rFonts w:cs="Arial"/>
        </w:rPr>
        <w:t xml:space="preserve">(A) RNA was prepared from bloodstream-form trypanosomes, with or without </w:t>
      </w:r>
      <w:proofErr w:type="spellStart"/>
      <w:r w:rsidRPr="00E80826">
        <w:rPr>
          <w:rFonts w:cs="Arial"/>
        </w:rPr>
        <w:t>RNAi</w:t>
      </w:r>
      <w:proofErr w:type="spellEnd"/>
      <w:r w:rsidRPr="00E80826">
        <w:rPr>
          <w:rFonts w:cs="Arial"/>
        </w:rPr>
        <w:t xml:space="preserve">. (A-F) Trypanosomes without (WT) or with </w:t>
      </w:r>
      <w:proofErr w:type="spellStart"/>
      <w:r w:rsidRPr="00E80826">
        <w:rPr>
          <w:rFonts w:cs="Arial"/>
        </w:rPr>
        <w:t>RNAi</w:t>
      </w:r>
      <w:proofErr w:type="spellEnd"/>
      <w:r w:rsidRPr="00E80826">
        <w:rPr>
          <w:rFonts w:cs="Arial"/>
        </w:rPr>
        <w:t xml:space="preserve"> (24h induction) were incubated with </w:t>
      </w:r>
      <w:proofErr w:type="spellStart"/>
      <w:r w:rsidRPr="00E80826">
        <w:rPr>
          <w:rFonts w:cs="Arial"/>
        </w:rPr>
        <w:t>Sinefungin</w:t>
      </w:r>
      <w:proofErr w:type="spellEnd"/>
      <w:r w:rsidRPr="00E80826">
        <w:rPr>
          <w:rFonts w:cs="Arial"/>
        </w:rPr>
        <w:t xml:space="preserve"> and </w:t>
      </w:r>
      <w:proofErr w:type="spellStart"/>
      <w:r w:rsidRPr="00E80826">
        <w:rPr>
          <w:rFonts w:cs="Arial"/>
        </w:rPr>
        <w:t>Actinomycin</w:t>
      </w:r>
      <w:proofErr w:type="spellEnd"/>
      <w:r w:rsidRPr="00E80826">
        <w:rPr>
          <w:rFonts w:cs="Arial"/>
        </w:rPr>
        <w:t xml:space="preserve"> D, and total RNA was prepared at various times thereafter. The RNA was separated by </w:t>
      </w:r>
      <w:proofErr w:type="spellStart"/>
      <w:r w:rsidRPr="00E80826">
        <w:rPr>
          <w:rFonts w:cs="Arial"/>
        </w:rPr>
        <w:t>agarose</w:t>
      </w:r>
      <w:proofErr w:type="spellEnd"/>
      <w:r w:rsidRPr="00E80826">
        <w:rPr>
          <w:rFonts w:cs="Arial"/>
        </w:rPr>
        <w:t xml:space="preserve"> gel electrophoresis and examined by Northern blotting, using an oligonucleotide complementary to the spliced leader as probe. A typical blot is shown, with the methylene blue stained </w:t>
      </w:r>
      <w:proofErr w:type="spellStart"/>
      <w:r w:rsidRPr="00E80826">
        <w:rPr>
          <w:rFonts w:cs="Arial"/>
        </w:rPr>
        <w:t>rRNA</w:t>
      </w:r>
      <w:proofErr w:type="spellEnd"/>
      <w:r w:rsidRPr="00E80826">
        <w:rPr>
          <w:rFonts w:cs="Arial"/>
        </w:rPr>
        <w:t xml:space="preserve"> (used for normalization) beneath. The area containing mRNA is indicated and </w:t>
      </w:r>
      <w:proofErr w:type="gramStart"/>
      <w:r w:rsidRPr="00E80826">
        <w:rPr>
          <w:rFonts w:cs="Arial"/>
        </w:rPr>
        <w:t xml:space="preserve">the </w:t>
      </w:r>
      <w:r w:rsidRPr="00E80826">
        <w:rPr>
          <w:rFonts w:cs="Arial"/>
          <w:i/>
        </w:rPr>
        <w:t>SLRNA</w:t>
      </w:r>
      <w:r w:rsidRPr="00E80826">
        <w:rPr>
          <w:rFonts w:cs="Arial"/>
        </w:rPr>
        <w:t xml:space="preserve"> (</w:t>
      </w:r>
      <w:r w:rsidRPr="00E80826">
        <w:rPr>
          <w:rFonts w:cs="Arial"/>
          <w:i/>
        </w:rPr>
        <w:t>trans</w:t>
      </w:r>
      <w:r w:rsidRPr="00E80826">
        <w:rPr>
          <w:rFonts w:cs="Arial"/>
        </w:rPr>
        <w:t xml:space="preserve"> splicing precursor) is indicated by an arrow</w:t>
      </w:r>
      <w:proofErr w:type="gramEnd"/>
      <w:r w:rsidRPr="00E80826">
        <w:rPr>
          <w:rFonts w:cs="Arial"/>
        </w:rPr>
        <w:t xml:space="preserve">.  </w:t>
      </w:r>
    </w:p>
    <w:p w:rsidR="008613F2" w:rsidRPr="00E80826" w:rsidRDefault="008613F2" w:rsidP="008613F2">
      <w:pPr>
        <w:rPr>
          <w:rFonts w:cs="Arial"/>
        </w:rPr>
      </w:pPr>
      <w:r w:rsidRPr="00E80826">
        <w:rPr>
          <w:rFonts w:cs="Arial"/>
        </w:rPr>
        <w:t xml:space="preserve">The overall half-life of </w:t>
      </w:r>
      <w:r w:rsidRPr="00E80826">
        <w:rPr>
          <w:rFonts w:cs="Arial"/>
          <w:i/>
        </w:rPr>
        <w:t>SL</w:t>
      </w:r>
      <w:r w:rsidRPr="00E80826">
        <w:rPr>
          <w:rFonts w:cs="Arial"/>
        </w:rPr>
        <w:t xml:space="preserve">-bearing mRNA is expressed as arithmetic mean half-life ± standard deviation for three independent experiments. </w:t>
      </w:r>
      <w:proofErr w:type="spellStart"/>
      <w:r w:rsidRPr="00E80826">
        <w:rPr>
          <w:rFonts w:cs="Arial"/>
        </w:rPr>
        <w:t>RNAi</w:t>
      </w:r>
      <w:proofErr w:type="spellEnd"/>
      <w:r w:rsidRPr="00E80826">
        <w:rPr>
          <w:rFonts w:cs="Arial"/>
        </w:rPr>
        <w:t xml:space="preserve"> was as follows: A. none (wild-type); B. </w:t>
      </w:r>
      <w:r w:rsidRPr="00E80826">
        <w:rPr>
          <w:rFonts w:cs="Arial"/>
          <w:i/>
        </w:rPr>
        <w:t>XRNA</w:t>
      </w:r>
      <w:r w:rsidRPr="00E80826">
        <w:rPr>
          <w:rFonts w:cs="Arial"/>
        </w:rPr>
        <w:t xml:space="preserve"> C. </w:t>
      </w:r>
      <w:r w:rsidRPr="00E80826">
        <w:rPr>
          <w:rFonts w:cs="Arial"/>
          <w:i/>
        </w:rPr>
        <w:t>RRP45</w:t>
      </w:r>
      <w:r w:rsidRPr="00E80826">
        <w:rPr>
          <w:rFonts w:cs="Arial"/>
        </w:rPr>
        <w:t xml:space="preserve">; D. </w:t>
      </w:r>
      <w:r w:rsidRPr="00E80826">
        <w:rPr>
          <w:rFonts w:cs="Arial"/>
          <w:i/>
        </w:rPr>
        <w:t>PAN2</w:t>
      </w:r>
      <w:r w:rsidRPr="00E80826">
        <w:rPr>
          <w:rFonts w:cs="Arial"/>
        </w:rPr>
        <w:t xml:space="preserve">; E. </w:t>
      </w:r>
      <w:r w:rsidRPr="00E80826">
        <w:rPr>
          <w:rFonts w:cs="Arial"/>
          <w:i/>
        </w:rPr>
        <w:t>CNOT10</w:t>
      </w:r>
      <w:r w:rsidRPr="00E80826">
        <w:rPr>
          <w:rFonts w:cs="Arial"/>
        </w:rPr>
        <w:t xml:space="preserve">; F. </w:t>
      </w:r>
      <w:r w:rsidRPr="00E80826">
        <w:rPr>
          <w:rFonts w:cs="Arial"/>
          <w:i/>
        </w:rPr>
        <w:t>CAF1</w:t>
      </w:r>
      <w:r w:rsidRPr="00E80826">
        <w:rPr>
          <w:rFonts w:cs="Arial"/>
        </w:rPr>
        <w:t xml:space="preserve">. The reductions in the target RNAs after </w:t>
      </w:r>
      <w:proofErr w:type="spellStart"/>
      <w:r w:rsidRPr="00E80826">
        <w:rPr>
          <w:rFonts w:cs="Arial"/>
        </w:rPr>
        <w:t>RNAi</w:t>
      </w:r>
      <w:proofErr w:type="spellEnd"/>
      <w:r w:rsidRPr="00E80826">
        <w:rPr>
          <w:rFonts w:cs="Arial"/>
        </w:rPr>
        <w:t xml:space="preserve"> could be quantified for CAF1 (10% remaining) but not for the other lines because the signals were too low. All cell lines, however, showed strong growth inhibition after 2-3 days of </w:t>
      </w:r>
      <w:proofErr w:type="spellStart"/>
      <w:r w:rsidRPr="00E80826">
        <w:rPr>
          <w:rFonts w:cs="Arial"/>
        </w:rPr>
        <w:t>RNAi</w:t>
      </w:r>
      <w:proofErr w:type="spellEnd"/>
      <w:r w:rsidRPr="00E80826">
        <w:rPr>
          <w:rFonts w:cs="Arial"/>
        </w:rPr>
        <w:t xml:space="preserve"> induction. For the </w:t>
      </w:r>
      <w:r w:rsidRPr="00E80826">
        <w:rPr>
          <w:rFonts w:cs="Arial"/>
          <w:i/>
        </w:rPr>
        <w:t>XRNA</w:t>
      </w:r>
      <w:r w:rsidRPr="00E80826">
        <w:rPr>
          <w:rFonts w:cs="Arial"/>
        </w:rPr>
        <w:t xml:space="preserve"> </w:t>
      </w:r>
      <w:proofErr w:type="spellStart"/>
      <w:r w:rsidRPr="00E80826">
        <w:rPr>
          <w:rFonts w:cs="Arial"/>
        </w:rPr>
        <w:t>RNAi</w:t>
      </w:r>
      <w:proofErr w:type="spellEnd"/>
      <w:r w:rsidRPr="00E80826">
        <w:rPr>
          <w:rFonts w:cs="Arial"/>
        </w:rPr>
        <w:t xml:space="preserve">, the </w:t>
      </w:r>
      <w:proofErr w:type="spellStart"/>
      <w:r w:rsidRPr="00E80826">
        <w:rPr>
          <w:rFonts w:cs="Arial"/>
        </w:rPr>
        <w:t>stabilisation</w:t>
      </w:r>
      <w:proofErr w:type="spellEnd"/>
      <w:r w:rsidRPr="00E80826">
        <w:rPr>
          <w:rFonts w:cs="Arial"/>
        </w:rPr>
        <w:t xml:space="preserve"> of </w:t>
      </w:r>
      <w:r w:rsidRPr="00E80826">
        <w:rPr>
          <w:rFonts w:cs="Arial"/>
          <w:i/>
        </w:rPr>
        <w:t>EP</w:t>
      </w:r>
      <w:r w:rsidRPr="00E80826">
        <w:rPr>
          <w:rFonts w:cs="Arial"/>
        </w:rPr>
        <w:t xml:space="preserve"> mRNA was assessed to check that the </w:t>
      </w:r>
      <w:proofErr w:type="spellStart"/>
      <w:r w:rsidRPr="00E80826">
        <w:rPr>
          <w:rFonts w:cs="Arial"/>
        </w:rPr>
        <w:t>RNAi</w:t>
      </w:r>
      <w:proofErr w:type="spellEnd"/>
      <w:r w:rsidRPr="00E80826">
        <w:rPr>
          <w:rFonts w:cs="Arial"/>
        </w:rPr>
        <w:t xml:space="preserve"> had worked, because the </w:t>
      </w:r>
      <w:r w:rsidRPr="00E80826">
        <w:rPr>
          <w:rFonts w:cs="Arial"/>
          <w:i/>
        </w:rPr>
        <w:t>EP</w:t>
      </w:r>
      <w:r w:rsidRPr="00E80826">
        <w:rPr>
          <w:rFonts w:cs="Arial"/>
        </w:rPr>
        <w:t xml:space="preserve"> mRNA has a half-life of less than 10 min in wild-type cells but is much more stable after </w:t>
      </w:r>
      <w:r w:rsidRPr="00E80826">
        <w:rPr>
          <w:rFonts w:cs="Arial"/>
          <w:i/>
        </w:rPr>
        <w:t>XRNA</w:t>
      </w:r>
      <w:r w:rsidRPr="00E80826">
        <w:rPr>
          <w:rFonts w:cs="Arial"/>
        </w:rPr>
        <w:t xml:space="preserve"> </w:t>
      </w:r>
      <w:proofErr w:type="spellStart"/>
      <w:r w:rsidRPr="00E80826">
        <w:rPr>
          <w:rFonts w:cs="Arial"/>
        </w:rPr>
        <w:t>RNAi</w:t>
      </w:r>
      <w:proofErr w:type="spellEnd"/>
      <w:r w:rsidRPr="00E80826">
        <w:rPr>
          <w:rFonts w:cs="Arial"/>
        </w:rPr>
        <w:t xml:space="preserve"> </w:t>
      </w:r>
      <w:r w:rsidRPr="00E80826">
        <w:rPr>
          <w:rFonts w:cs="Arial"/>
        </w:rPr>
        <w:fldChar w:fldCharType="begin"/>
      </w:r>
      <w:r w:rsidRPr="00E80826">
        <w:rPr>
          <w:rFonts w:cs="Arial"/>
        </w:rPr>
        <w:instrText xml:space="preserve"> ADDIN EN.CITE &lt;EndNote&gt;&lt;Cite&gt;&lt;Author&gt;Li&lt;/Author&gt;&lt;Year&gt;2006&lt;/Year&gt;&lt;RecNum&gt;1216&lt;/RecNum&gt;&lt;DisplayText&gt;(Li et al. 2006)&lt;/DisplayText&gt;&lt;record&gt;&lt;rec-number&gt;1216&lt;/rec-number&gt;&lt;foreign-keys&gt;&lt;key app="EN" db-id="dwwesvdf2ewrrqe2dzmpt5p199fvzz90ef9f"&gt;1216&lt;/key&gt;&lt;/foreign-keys&gt;&lt;ref-type name="Journal Article"&gt;17&lt;/ref-type&gt;&lt;contributors&gt;&lt;authors&gt;&lt;author&gt;Li, C-H&lt;/author&gt;&lt;author&gt;Irmer, H&lt;/author&gt;&lt;author&gt;Gudjonsdottir-Planck, D&lt;/author&gt;&lt;author&gt;Freese, S&lt;/author&gt;&lt;author&gt;Salm, H&lt;/author&gt;&lt;author&gt;Haile, S&lt;/author&gt;&lt;author&gt;Estévez, A.M.&lt;/author&gt;&lt;author&gt;Clayton, C.E.&lt;/author&gt;&lt;/authors&gt;&lt;/contributors&gt;&lt;titles&gt;&lt;title&gt;&lt;style face="normal" font="default" size="100%"&gt;Roles of a &lt;/style&gt;&lt;style face="italic" font="default" size="100%"&gt;Trypanosoma brucei&lt;/style&gt;&lt;style face="normal" font="default" size="100%"&gt; 5&amp;apos;-&amp;gt;3&amp;apos; exoribonuclease homologue in mRNA degradation&lt;/style&gt;&lt;/title&gt;&lt;secondary-title&gt;RNA&lt;/secondary-title&gt;&lt;/titles&gt;&lt;periodical&gt;&lt;full-title&gt;RNA&lt;/full-title&gt;&lt;/periodical&gt;&lt;pages&gt;2171-2186&lt;/pages&gt;&lt;volume&gt;12&lt;/volume&gt;&lt;dates&gt;&lt;year&gt;2006&lt;/year&gt;&lt;/dates&gt;&lt;urls&gt;&lt;/urls&gt;&lt;/record&gt;&lt;/Cite&gt;&lt;/EndNote&gt;</w:instrText>
      </w:r>
      <w:r w:rsidRPr="00E80826">
        <w:rPr>
          <w:rFonts w:cs="Arial"/>
        </w:rPr>
        <w:fldChar w:fldCharType="separate"/>
      </w:r>
      <w:r w:rsidRPr="00E80826">
        <w:rPr>
          <w:rFonts w:cs="Arial"/>
          <w:noProof/>
        </w:rPr>
        <w:t>(</w:t>
      </w:r>
      <w:hyperlink w:anchor="_ENREF_39" w:tooltip="Li, 2006 #1216" w:history="1">
        <w:r w:rsidRPr="00E80826">
          <w:rPr>
            <w:rFonts w:cs="Arial"/>
            <w:noProof/>
          </w:rPr>
          <w:t>Li et al. 2006</w:t>
        </w:r>
      </w:hyperlink>
      <w:r w:rsidRPr="00E80826">
        <w:rPr>
          <w:rFonts w:cs="Arial"/>
          <w:noProof/>
        </w:rPr>
        <w:t>)</w:t>
      </w:r>
      <w:r w:rsidRPr="00E80826">
        <w:rPr>
          <w:rFonts w:cs="Arial"/>
        </w:rPr>
        <w:fldChar w:fldCharType="end"/>
      </w:r>
      <w:r w:rsidRPr="00E80826">
        <w:rPr>
          <w:rFonts w:cs="Arial"/>
        </w:rPr>
        <w:t xml:space="preserve">.)  Panel G compares RNAs taken without </w:t>
      </w:r>
      <w:proofErr w:type="spellStart"/>
      <w:r w:rsidRPr="00E80826">
        <w:rPr>
          <w:rFonts w:cs="Arial"/>
        </w:rPr>
        <w:t>Actinomycin</w:t>
      </w:r>
      <w:proofErr w:type="spellEnd"/>
      <w:r w:rsidRPr="00E80826">
        <w:rPr>
          <w:rFonts w:cs="Arial"/>
        </w:rPr>
        <w:t xml:space="preserve"> D or </w:t>
      </w:r>
      <w:proofErr w:type="spellStart"/>
      <w:r w:rsidRPr="00E80826">
        <w:rPr>
          <w:rFonts w:cs="Arial"/>
        </w:rPr>
        <w:t>Sinefungin</w:t>
      </w:r>
      <w:proofErr w:type="spellEnd"/>
      <w:r w:rsidRPr="00E80826">
        <w:rPr>
          <w:rFonts w:cs="Arial"/>
        </w:rPr>
        <w:t>.</w:t>
      </w:r>
    </w:p>
    <w:p w:rsidR="008613F2" w:rsidRPr="00E80826" w:rsidRDefault="008613F2" w:rsidP="008613F2">
      <w:pPr>
        <w:pStyle w:val="Heading2"/>
        <w:rPr>
          <w:rFonts w:cs="Arial"/>
        </w:rPr>
      </w:pPr>
      <w:r w:rsidRPr="00E80826">
        <w:rPr>
          <w:rFonts w:cs="Arial"/>
        </w:rPr>
        <w:t xml:space="preserve">Supplementary Figure S2 </w:t>
      </w:r>
    </w:p>
    <w:p w:rsidR="008613F2" w:rsidRPr="00E80826" w:rsidRDefault="008613F2" w:rsidP="008613F2">
      <w:pPr>
        <w:rPr>
          <w:rFonts w:cs="Arial"/>
        </w:rPr>
      </w:pPr>
      <w:proofErr w:type="gramStart"/>
      <w:r w:rsidRPr="00E80826">
        <w:rPr>
          <w:rFonts w:cs="Arial"/>
        </w:rPr>
        <w:t>Quantitation of three replicate blots of the type shown in Figure 1.</w:t>
      </w:r>
      <w:proofErr w:type="gramEnd"/>
      <w:r w:rsidRPr="00E80826">
        <w:rPr>
          <w:rFonts w:cs="Arial"/>
        </w:rPr>
        <w:t xml:space="preserve"> The three replicates are shown by different symbols as indicated on the wild-type panel. The pink lines were drawn manually; they suggest consistent deviation from exponential kinetics for the </w:t>
      </w:r>
      <w:r w:rsidRPr="00E80826">
        <w:rPr>
          <w:rFonts w:cs="Arial"/>
          <w:i/>
        </w:rPr>
        <w:t>CNOT10</w:t>
      </w:r>
      <w:r w:rsidRPr="00E80826">
        <w:rPr>
          <w:rFonts w:cs="Arial"/>
        </w:rPr>
        <w:t xml:space="preserve"> and </w:t>
      </w:r>
      <w:r w:rsidRPr="00E80826">
        <w:rPr>
          <w:rFonts w:cs="Arial"/>
          <w:i/>
        </w:rPr>
        <w:t>CAF1</w:t>
      </w:r>
      <w:r w:rsidRPr="00E80826">
        <w:rPr>
          <w:rFonts w:cs="Arial"/>
        </w:rPr>
        <w:t xml:space="preserve"> </w:t>
      </w:r>
      <w:proofErr w:type="spellStart"/>
      <w:r w:rsidRPr="00E80826">
        <w:rPr>
          <w:rFonts w:cs="Arial"/>
        </w:rPr>
        <w:t>RNAi</w:t>
      </w:r>
      <w:proofErr w:type="spellEnd"/>
      <w:r w:rsidRPr="00E80826">
        <w:rPr>
          <w:rFonts w:cs="Arial"/>
        </w:rPr>
        <w:t xml:space="preserve"> samples.</w:t>
      </w:r>
    </w:p>
    <w:p w:rsidR="008613F2" w:rsidRPr="00E80826" w:rsidRDefault="008613F2" w:rsidP="008613F2">
      <w:pPr>
        <w:pStyle w:val="Heading2"/>
        <w:rPr>
          <w:rFonts w:cs="Arial"/>
        </w:rPr>
      </w:pPr>
      <w:r w:rsidRPr="00E80826">
        <w:rPr>
          <w:rFonts w:cs="Arial"/>
        </w:rPr>
        <w:t xml:space="preserve">Supplementary Figure S3 </w:t>
      </w:r>
    </w:p>
    <w:p w:rsidR="008613F2" w:rsidRPr="00E80826" w:rsidRDefault="008613F2" w:rsidP="008613F2">
      <w:pPr>
        <w:rPr>
          <w:rFonts w:cs="Arial"/>
        </w:rPr>
      </w:pPr>
      <w:proofErr w:type="gramStart"/>
      <w:r w:rsidRPr="00E80826">
        <w:rPr>
          <w:rFonts w:cs="Arial"/>
        </w:rPr>
        <w:t xml:space="preserve">Reproducibility of the </w:t>
      </w:r>
      <w:proofErr w:type="spellStart"/>
      <w:r w:rsidRPr="00E80826">
        <w:rPr>
          <w:rFonts w:cs="Arial"/>
        </w:rPr>
        <w:t>RNASeq</w:t>
      </w:r>
      <w:proofErr w:type="spellEnd"/>
      <w:r w:rsidRPr="00E80826">
        <w:rPr>
          <w:rFonts w:cs="Arial"/>
        </w:rPr>
        <w:t xml:space="preserve"> data.</w:t>
      </w:r>
      <w:proofErr w:type="gramEnd"/>
      <w:r w:rsidRPr="00E80826">
        <w:rPr>
          <w:rFonts w:cs="Arial"/>
        </w:rPr>
        <w:t xml:space="preserve"> RPM for all 7557 unique open reading frames are plotted: each ORF is represented by a dot, with the value for one replicate on the x-axis and the other on the y-axis</w:t>
      </w:r>
      <w:proofErr w:type="gramStart"/>
      <w:r w:rsidRPr="00E80826">
        <w:rPr>
          <w:rFonts w:cs="Arial"/>
        </w:rPr>
        <w:t>;</w:t>
      </w:r>
      <w:proofErr w:type="gramEnd"/>
      <w:r w:rsidRPr="00E80826">
        <w:rPr>
          <w:rFonts w:cs="Arial"/>
        </w:rPr>
        <w:t xml:space="preserve"> log</w:t>
      </w:r>
      <w:r w:rsidRPr="00E80826">
        <w:rPr>
          <w:rFonts w:cs="Arial"/>
          <w:vertAlign w:val="subscript"/>
        </w:rPr>
        <w:t>10</w:t>
      </w:r>
      <w:r w:rsidRPr="00E80826">
        <w:rPr>
          <w:rFonts w:cs="Arial"/>
        </w:rPr>
        <w:t xml:space="preserve"> scale. Reads that aligned to </w:t>
      </w:r>
      <w:proofErr w:type="spellStart"/>
      <w:r w:rsidRPr="00E80826">
        <w:rPr>
          <w:rFonts w:cs="Arial"/>
        </w:rPr>
        <w:t>untranslated</w:t>
      </w:r>
      <w:proofErr w:type="spellEnd"/>
      <w:r w:rsidRPr="00E80826">
        <w:rPr>
          <w:rFonts w:cs="Arial"/>
        </w:rPr>
        <w:t xml:space="preserve"> regions or other transcripts such as </w:t>
      </w:r>
      <w:proofErr w:type="spellStart"/>
      <w:r w:rsidRPr="00E80826">
        <w:rPr>
          <w:rFonts w:cs="Arial"/>
        </w:rPr>
        <w:t>snoRNAs</w:t>
      </w:r>
      <w:proofErr w:type="spellEnd"/>
      <w:r w:rsidRPr="00E80826">
        <w:rPr>
          <w:rFonts w:cs="Arial"/>
        </w:rPr>
        <w:t xml:space="preserve"> are not included. The grey solid lines show the </w:t>
      </w:r>
      <w:proofErr w:type="gramStart"/>
      <w:r w:rsidRPr="00E80826">
        <w:rPr>
          <w:rFonts w:cs="Arial"/>
        </w:rPr>
        <w:t>5 RPM</w:t>
      </w:r>
      <w:proofErr w:type="gramEnd"/>
      <w:r w:rsidRPr="00E80826">
        <w:rPr>
          <w:rFonts w:cs="Arial"/>
        </w:rPr>
        <w:t xml:space="preserve"> cut-off for steady-state transcripts; the dashed diagonals indicate the line of perfect correlation. The numbers of reads that aligned to open reading frames for the two replicates are shown in the bottom right corner of the relevant graphs. Because of the log scale, </w:t>
      </w:r>
      <w:proofErr w:type="gramStart"/>
      <w:r w:rsidRPr="00E80826">
        <w:rPr>
          <w:rFonts w:cs="Arial"/>
        </w:rPr>
        <w:t>ORFs which had no reads</w:t>
      </w:r>
      <w:proofErr w:type="gramEnd"/>
      <w:r w:rsidRPr="00E80826">
        <w:rPr>
          <w:rFonts w:cs="Arial"/>
        </w:rPr>
        <w:t xml:space="preserve"> are not shown. </w:t>
      </w:r>
    </w:p>
    <w:p w:rsidR="008613F2" w:rsidRPr="00E80826" w:rsidRDefault="008613F2" w:rsidP="008613F2">
      <w:pPr>
        <w:pStyle w:val="Heading2"/>
        <w:rPr>
          <w:rFonts w:cs="Arial"/>
        </w:rPr>
      </w:pPr>
      <w:r w:rsidRPr="00E80826">
        <w:rPr>
          <w:rFonts w:cs="Arial"/>
        </w:rPr>
        <w:t xml:space="preserve">Supplementary Figure S4 </w:t>
      </w:r>
    </w:p>
    <w:p w:rsidR="008613F2" w:rsidRPr="00E80826" w:rsidRDefault="008613F2" w:rsidP="008613F2">
      <w:pPr>
        <w:rPr>
          <w:rFonts w:cs="Arial"/>
        </w:rPr>
      </w:pPr>
      <w:proofErr w:type="spellStart"/>
      <w:r w:rsidRPr="00E80826">
        <w:rPr>
          <w:rFonts w:cs="Arial"/>
        </w:rPr>
        <w:t>RNAi</w:t>
      </w:r>
      <w:proofErr w:type="spellEnd"/>
      <w:r w:rsidRPr="00E80826">
        <w:rPr>
          <w:rFonts w:cs="Arial"/>
        </w:rPr>
        <w:t xml:space="preserve"> targeting the </w:t>
      </w:r>
      <w:proofErr w:type="spellStart"/>
      <w:r w:rsidRPr="00E80826">
        <w:rPr>
          <w:rFonts w:cs="Arial"/>
        </w:rPr>
        <w:t>exosome</w:t>
      </w:r>
      <w:proofErr w:type="spellEnd"/>
      <w:r w:rsidRPr="00E80826">
        <w:rPr>
          <w:rFonts w:cs="Arial"/>
        </w:rPr>
        <w:t xml:space="preserve"> increases the relative abundance of </w:t>
      </w:r>
      <w:proofErr w:type="spellStart"/>
      <w:r w:rsidRPr="00E80826">
        <w:rPr>
          <w:rFonts w:cs="Arial"/>
        </w:rPr>
        <w:t>snoRNA</w:t>
      </w:r>
      <w:proofErr w:type="spellEnd"/>
      <w:r w:rsidRPr="00E80826">
        <w:rPr>
          <w:rFonts w:cs="Arial"/>
        </w:rPr>
        <w:t xml:space="preserve"> precursors from a cluster on chromosome 8.</w:t>
      </w:r>
    </w:p>
    <w:p w:rsidR="008613F2" w:rsidRPr="00E80826" w:rsidRDefault="008613F2" w:rsidP="008613F2">
      <w:pPr>
        <w:rPr>
          <w:rFonts w:cs="Arial"/>
        </w:rPr>
      </w:pPr>
      <w:r w:rsidRPr="00E80826">
        <w:rPr>
          <w:rFonts w:cs="Arial"/>
        </w:rPr>
        <w:t xml:space="preserve">The map of part of a </w:t>
      </w:r>
      <w:proofErr w:type="spellStart"/>
      <w:r w:rsidRPr="00E80826">
        <w:rPr>
          <w:rFonts w:cs="Arial"/>
        </w:rPr>
        <w:t>snoRNA</w:t>
      </w:r>
      <w:proofErr w:type="spellEnd"/>
      <w:r w:rsidRPr="00E80826">
        <w:rPr>
          <w:rFonts w:cs="Arial"/>
        </w:rPr>
        <w:t xml:space="preserve"> cluster immediately upstream of Tb927.8.1610 is shown. Some of the sequences are identical, as indicated by the lines above the locus. The open reading frame for Tb927.8.1610 is the most recent one according to the database </w:t>
      </w:r>
      <w:r w:rsidRPr="00E80826">
        <w:rPr>
          <w:rFonts w:cs="Arial"/>
        </w:rPr>
        <w:lastRenderedPageBreak/>
        <w:t>annotation (see http://www.genedb.org/Homepage/Tbruceibrucei927 or http://tritrypdb.org/tritrypdb/)</w:t>
      </w:r>
    </w:p>
    <w:p w:rsidR="008613F2" w:rsidRPr="00E80826" w:rsidRDefault="008613F2" w:rsidP="008613F2">
      <w:pPr>
        <w:rPr>
          <w:rFonts w:cs="Arial"/>
        </w:rPr>
      </w:pPr>
      <w:r w:rsidRPr="00E80826">
        <w:rPr>
          <w:rFonts w:cs="Arial"/>
        </w:rPr>
        <w:t xml:space="preserve">Below, raw read alignments, displayed in Artemis, are shown as screen shots. Each small horizontal line represents a single read. Reads should mostly be from </w:t>
      </w:r>
      <w:proofErr w:type="spellStart"/>
      <w:r w:rsidRPr="00E80826">
        <w:rPr>
          <w:rFonts w:cs="Arial"/>
        </w:rPr>
        <w:t>snoRNA</w:t>
      </w:r>
      <w:proofErr w:type="spellEnd"/>
      <w:r w:rsidRPr="00E80826">
        <w:rPr>
          <w:rFonts w:cs="Arial"/>
        </w:rPr>
        <w:t xml:space="preserve"> precursors, since mature </w:t>
      </w:r>
      <w:proofErr w:type="spellStart"/>
      <w:r w:rsidRPr="00E80826">
        <w:rPr>
          <w:rFonts w:cs="Arial"/>
        </w:rPr>
        <w:t>snoRNAs</w:t>
      </w:r>
      <w:proofErr w:type="spellEnd"/>
      <w:r w:rsidRPr="00E80826">
        <w:rPr>
          <w:rFonts w:cs="Arial"/>
        </w:rPr>
        <w:t xml:space="preserve"> are too small to be sequenced by the procedure used. Similarities in the patterns reflect sequence repeats.</w:t>
      </w:r>
    </w:p>
    <w:p w:rsidR="008613F2" w:rsidRPr="00E80826" w:rsidRDefault="008613F2" w:rsidP="008613F2">
      <w:pPr>
        <w:rPr>
          <w:rFonts w:cs="Arial"/>
        </w:rPr>
      </w:pPr>
      <w:r w:rsidRPr="00E80826">
        <w:rPr>
          <w:rFonts w:cs="Arial"/>
        </w:rPr>
        <w:t xml:space="preserve">The read counts over the </w:t>
      </w:r>
      <w:proofErr w:type="spellStart"/>
      <w:r w:rsidRPr="00E80826">
        <w:rPr>
          <w:rFonts w:cs="Arial"/>
        </w:rPr>
        <w:t>snoRNA</w:t>
      </w:r>
      <w:proofErr w:type="spellEnd"/>
      <w:r w:rsidRPr="00E80826">
        <w:rPr>
          <w:rFonts w:cs="Arial"/>
        </w:rPr>
        <w:t xml:space="preserve"> region can be higher after </w:t>
      </w:r>
      <w:proofErr w:type="spellStart"/>
      <w:r w:rsidRPr="00E80826">
        <w:rPr>
          <w:rFonts w:cs="Arial"/>
        </w:rPr>
        <w:t>Actinomycin</w:t>
      </w:r>
      <w:proofErr w:type="spellEnd"/>
      <w:r w:rsidRPr="00E80826">
        <w:rPr>
          <w:rFonts w:cs="Arial"/>
        </w:rPr>
        <w:t xml:space="preserve"> D than at steady state because the amounts seen are relative, rather than absolute. Since, after 30 min, about 60% of the mRNA has disappeared, the relative amounts of more stable RNAs in the sequenced mixture increase. The results suggest that the </w:t>
      </w:r>
      <w:proofErr w:type="spellStart"/>
      <w:r w:rsidRPr="00E80826">
        <w:rPr>
          <w:rFonts w:cs="Arial"/>
        </w:rPr>
        <w:t>snoRNA</w:t>
      </w:r>
      <w:proofErr w:type="spellEnd"/>
      <w:r w:rsidRPr="00E80826">
        <w:rPr>
          <w:rFonts w:cs="Arial"/>
        </w:rPr>
        <w:t xml:space="preserve"> precursors are relatively stable in cells with RRP45 </w:t>
      </w:r>
      <w:proofErr w:type="spellStart"/>
      <w:r w:rsidRPr="00E80826">
        <w:rPr>
          <w:rFonts w:cs="Arial"/>
        </w:rPr>
        <w:t>RNAi</w:t>
      </w:r>
      <w:proofErr w:type="spellEnd"/>
      <w:r w:rsidRPr="00E80826">
        <w:rPr>
          <w:rFonts w:cs="Arial"/>
        </w:rPr>
        <w:t>.</w:t>
      </w:r>
    </w:p>
    <w:p w:rsidR="008613F2" w:rsidRPr="00E80826" w:rsidRDefault="008613F2" w:rsidP="008613F2">
      <w:pPr>
        <w:pStyle w:val="Heading2"/>
        <w:rPr>
          <w:rFonts w:cs="Arial"/>
        </w:rPr>
      </w:pPr>
      <w:r w:rsidRPr="00E80826">
        <w:rPr>
          <w:rFonts w:cs="Arial"/>
        </w:rPr>
        <w:t xml:space="preserve">Supplementary Figure S5 </w:t>
      </w:r>
    </w:p>
    <w:p w:rsidR="008613F2" w:rsidRPr="00E80826" w:rsidRDefault="008613F2" w:rsidP="008613F2">
      <w:pPr>
        <w:rPr>
          <w:rFonts w:cs="Arial"/>
        </w:rPr>
      </w:pPr>
      <w:proofErr w:type="spellStart"/>
      <w:r w:rsidRPr="00E80826">
        <w:rPr>
          <w:rFonts w:cs="Arial"/>
        </w:rPr>
        <w:t>RNAi</w:t>
      </w:r>
      <w:proofErr w:type="spellEnd"/>
      <w:r w:rsidRPr="00E80826">
        <w:rPr>
          <w:rFonts w:cs="Arial"/>
        </w:rPr>
        <w:t xml:space="preserve"> targeting the </w:t>
      </w:r>
      <w:proofErr w:type="spellStart"/>
      <w:r w:rsidRPr="00E80826">
        <w:rPr>
          <w:rFonts w:cs="Arial"/>
        </w:rPr>
        <w:t>exosome</w:t>
      </w:r>
      <w:proofErr w:type="spellEnd"/>
      <w:r w:rsidRPr="00E80826">
        <w:rPr>
          <w:rFonts w:cs="Arial"/>
        </w:rPr>
        <w:t xml:space="preserve"> increases the relative abundance of </w:t>
      </w:r>
      <w:proofErr w:type="spellStart"/>
      <w:r w:rsidRPr="00E80826">
        <w:rPr>
          <w:rFonts w:cs="Arial"/>
        </w:rPr>
        <w:t>snoRNA</w:t>
      </w:r>
      <w:proofErr w:type="spellEnd"/>
      <w:r w:rsidRPr="00E80826">
        <w:rPr>
          <w:rFonts w:cs="Arial"/>
        </w:rPr>
        <w:t xml:space="preserve"> precursors from a cluster on chromosome 6.</w:t>
      </w:r>
    </w:p>
    <w:p w:rsidR="008613F2" w:rsidRPr="00E80826" w:rsidRDefault="008613F2" w:rsidP="008613F2">
      <w:pPr>
        <w:rPr>
          <w:rFonts w:cs="Arial"/>
        </w:rPr>
      </w:pPr>
      <w:r w:rsidRPr="00E80826">
        <w:rPr>
          <w:rFonts w:cs="Arial"/>
        </w:rPr>
        <w:t xml:space="preserve">The two panels show Artemis screen shots of averaged aligned reads between locus Tb927.6.1850 and Tb927.6.1870 (see http://www.genedb.org/Homepage/Tbruceibrucei927 or http://tritrypdb.org/tritrypdb/). </w:t>
      </w:r>
    </w:p>
    <w:p w:rsidR="008613F2" w:rsidRPr="00E80826" w:rsidRDefault="008613F2" w:rsidP="008613F2">
      <w:pPr>
        <w:rPr>
          <w:rFonts w:cs="Arial"/>
        </w:rPr>
      </w:pPr>
      <w:r w:rsidRPr="00E80826">
        <w:rPr>
          <w:rFonts w:cs="Arial"/>
        </w:rPr>
        <w:t xml:space="preserve">The red line represents </w:t>
      </w:r>
      <w:proofErr w:type="gramStart"/>
      <w:r w:rsidRPr="00E80826">
        <w:rPr>
          <w:rFonts w:cs="Arial"/>
        </w:rPr>
        <w:t>wild-type</w:t>
      </w:r>
      <w:proofErr w:type="gramEnd"/>
      <w:r w:rsidRPr="00E80826">
        <w:rPr>
          <w:rFonts w:cs="Arial"/>
        </w:rPr>
        <w:t>, green is RRP45 depletion, at steady state and 30 min after transcription inhibition. Similarities in the patterns reflect sequence repeats.</w:t>
      </w:r>
    </w:p>
    <w:p w:rsidR="008613F2" w:rsidRPr="00E80826" w:rsidRDefault="008613F2" w:rsidP="008613F2">
      <w:pPr>
        <w:pStyle w:val="Heading2"/>
        <w:spacing w:line="360" w:lineRule="auto"/>
        <w:rPr>
          <w:rFonts w:cs="Arial"/>
        </w:rPr>
      </w:pPr>
      <w:r w:rsidRPr="00E80826">
        <w:rPr>
          <w:rFonts w:cs="Arial"/>
        </w:rPr>
        <w:t xml:space="preserve">Supplementary Table S1 </w:t>
      </w:r>
    </w:p>
    <w:p w:rsidR="008613F2" w:rsidRPr="00E80826" w:rsidRDefault="008613F2" w:rsidP="008613F2">
      <w:pPr>
        <w:rPr>
          <w:rFonts w:cs="Arial"/>
        </w:rPr>
      </w:pPr>
      <w:r w:rsidRPr="00E80826">
        <w:rPr>
          <w:rFonts w:cs="Arial"/>
        </w:rPr>
        <w:t xml:space="preserve">ORF read counts for WT and all </w:t>
      </w:r>
      <w:proofErr w:type="spellStart"/>
      <w:r w:rsidRPr="00E80826">
        <w:rPr>
          <w:rFonts w:cs="Arial"/>
        </w:rPr>
        <w:t>RNAi</w:t>
      </w:r>
      <w:proofErr w:type="spellEnd"/>
      <w:r w:rsidRPr="00E80826">
        <w:rPr>
          <w:rFonts w:cs="Arial"/>
        </w:rPr>
        <w:t xml:space="preserve"> lines for the duplicate </w:t>
      </w:r>
      <w:proofErr w:type="spellStart"/>
      <w:r w:rsidRPr="00E80826">
        <w:rPr>
          <w:rFonts w:cs="Arial"/>
        </w:rPr>
        <w:t>RNAseq</w:t>
      </w:r>
      <w:proofErr w:type="spellEnd"/>
      <w:r w:rsidRPr="00E80826">
        <w:rPr>
          <w:rFonts w:cs="Arial"/>
        </w:rPr>
        <w:t xml:space="preserve"> runs. WT data are taken from </w:t>
      </w:r>
      <w:r w:rsidRPr="00E80826">
        <w:rPr>
          <w:rFonts w:cs="Arial"/>
        </w:rPr>
        <w:fldChar w:fldCharType="begin"/>
      </w:r>
      <w:r w:rsidRPr="00E80826">
        <w:rPr>
          <w:rFonts w:cs="Arial"/>
        </w:rPr>
        <w:instrText xml:space="preserve"> ADDIN EN.CITE &lt;EndNote&gt;&lt;Cite&gt;&lt;Author&gt;Manful&lt;/Author&gt;&lt;Year&gt;2011&lt;/Year&gt;&lt;RecNum&gt;2210&lt;/RecNum&gt;&lt;DisplayText&gt;(Manful et al. 2011)&lt;/DisplayText&gt;&lt;record&gt;&lt;rec-number&gt;2210&lt;/rec-number&gt;&lt;foreign-keys&gt;&lt;key app="EN" db-id="dwwesvdf2ewrrqe2dzmpt5p199fvzz90ef9f"&gt;2210&lt;/key&gt;&lt;/foreign-keys&gt;&lt;ref-type name="Journal Article"&gt;17&lt;/ref-type&gt;&lt;contributors&gt;&lt;authors&gt;&lt;author&gt;Manful, T&lt;/author&gt;&lt;author&gt;Fadda, A&lt;/author&gt;&lt;author&gt;Clayton, C&lt;/author&gt;&lt;/authors&gt;&lt;/contributors&gt;&lt;titles&gt;&lt;title&gt;The role of the 5&amp;apos;-3&amp;apos; exoribonuclease XRNA in transcriptome-wide mRNA degradation&lt;/title&gt;&lt;secondary-title&gt;RNA&lt;/secondary-title&gt;&lt;/titles&gt;&lt;periodical&gt;&lt;full-title&gt;RNA&lt;/full-title&gt;&lt;/periodical&gt;&lt;pages&gt;2039-2047&lt;/pages&gt;&lt;volume&gt;17&lt;/volume&gt;&lt;dates&gt;&lt;year&gt;2011&lt;/year&gt;&lt;/dates&gt;&lt;urls&gt;&lt;/urls&gt;&lt;/record&gt;&lt;/Cite&gt;&lt;/EndNote&gt;</w:instrText>
      </w:r>
      <w:r w:rsidRPr="00E80826">
        <w:rPr>
          <w:rFonts w:cs="Arial"/>
        </w:rPr>
        <w:fldChar w:fldCharType="separate"/>
      </w:r>
      <w:r w:rsidRPr="00E80826">
        <w:rPr>
          <w:rFonts w:cs="Arial"/>
          <w:noProof/>
        </w:rPr>
        <w:t>(</w:t>
      </w:r>
      <w:hyperlink w:anchor="_ENREF_46" w:tooltip="Manful, 2011 #2210" w:history="1">
        <w:r w:rsidRPr="00E80826">
          <w:rPr>
            <w:rFonts w:cs="Arial"/>
            <w:noProof/>
          </w:rPr>
          <w:t>Manful et al. 2011</w:t>
        </w:r>
      </w:hyperlink>
      <w:r w:rsidRPr="00E80826">
        <w:rPr>
          <w:rFonts w:cs="Arial"/>
          <w:noProof/>
        </w:rPr>
        <w:t>)</w:t>
      </w:r>
      <w:r w:rsidRPr="00E80826">
        <w:rPr>
          <w:rFonts w:cs="Arial"/>
        </w:rPr>
        <w:fldChar w:fldCharType="end"/>
      </w:r>
      <w:r w:rsidRPr="00E80826">
        <w:rPr>
          <w:rFonts w:cs="Arial"/>
        </w:rPr>
        <w:t>. The list of RPM values for unique open reading frames is on a second sheet.</w:t>
      </w:r>
    </w:p>
    <w:p w:rsidR="008613F2" w:rsidRPr="00E80826" w:rsidRDefault="008613F2" w:rsidP="008613F2">
      <w:pPr>
        <w:pStyle w:val="Heading2"/>
        <w:spacing w:line="360" w:lineRule="auto"/>
        <w:rPr>
          <w:rFonts w:cs="Arial"/>
        </w:rPr>
      </w:pPr>
      <w:r w:rsidRPr="00E80826">
        <w:rPr>
          <w:rFonts w:cs="Arial"/>
        </w:rPr>
        <w:t xml:space="preserve">Supplementary Table S2 </w:t>
      </w:r>
    </w:p>
    <w:p w:rsidR="008613F2" w:rsidRPr="00E80826" w:rsidRDefault="008613F2" w:rsidP="008613F2">
      <w:pPr>
        <w:rPr>
          <w:rFonts w:cs="Arial"/>
        </w:rPr>
      </w:pPr>
      <w:proofErr w:type="gramStart"/>
      <w:r w:rsidRPr="00E80826">
        <w:rPr>
          <w:rFonts w:cs="Arial"/>
        </w:rPr>
        <w:t>Half-lives for all genes fitting cut-off criteria (see Methods).</w:t>
      </w:r>
      <w:proofErr w:type="gramEnd"/>
      <w:r w:rsidRPr="00E80826">
        <w:rPr>
          <w:rFonts w:cs="Arial"/>
        </w:rPr>
        <w:t xml:space="preserve">  </w:t>
      </w:r>
      <w:proofErr w:type="gramStart"/>
      <w:r w:rsidRPr="00E80826">
        <w:rPr>
          <w:rFonts w:cs="Arial"/>
        </w:rPr>
        <w:t>The values are replaced by “NA”</w:t>
      </w:r>
      <w:proofErr w:type="gramEnd"/>
      <w:r w:rsidRPr="00E80826">
        <w:rPr>
          <w:rFonts w:cs="Arial"/>
        </w:rPr>
        <w:t xml:space="preserve"> when the cut-off criteria are not met.  </w:t>
      </w:r>
    </w:p>
    <w:p w:rsidR="008613F2" w:rsidRPr="00E80826" w:rsidRDefault="008613F2" w:rsidP="008613F2">
      <w:pPr>
        <w:pStyle w:val="Heading2"/>
        <w:spacing w:line="360" w:lineRule="auto"/>
        <w:rPr>
          <w:rFonts w:cs="Arial"/>
        </w:rPr>
      </w:pPr>
      <w:r w:rsidRPr="00E80826">
        <w:rPr>
          <w:rFonts w:cs="Arial"/>
        </w:rPr>
        <w:t xml:space="preserve">Supplementary Table S3 </w:t>
      </w:r>
    </w:p>
    <w:p w:rsidR="008613F2" w:rsidRPr="00E80826" w:rsidRDefault="008613F2" w:rsidP="008613F2">
      <w:pPr>
        <w:rPr>
          <w:rFonts w:cs="Arial"/>
        </w:rPr>
      </w:pPr>
      <w:r w:rsidRPr="00E80826">
        <w:rPr>
          <w:rFonts w:cs="Arial"/>
        </w:rPr>
        <w:t xml:space="preserve">Genes showing differential expression at steady state in knockdown cell lines (p-adjusted-value &lt; 0.01). Descriptive columns were added such as gene description, functional class and the change in the transcript half-life (half-life increase &gt; 2x is color-coded pink; half-life decrease &lt; 2x is coded light green). The sheet titled “Class enrichment” contains lists of gene classes that were enriched in either the increased or decreased unique transcripts at steady state in all knockdown lines. </w:t>
      </w:r>
    </w:p>
    <w:p w:rsidR="008613F2" w:rsidRPr="00E80826" w:rsidRDefault="008613F2" w:rsidP="008613F2">
      <w:pPr>
        <w:rPr>
          <w:rFonts w:cs="Arial"/>
        </w:rPr>
      </w:pPr>
    </w:p>
    <w:p w:rsidR="008420E3" w:rsidRDefault="008420E3">
      <w:bookmarkStart w:id="0" w:name="_GoBack"/>
      <w:bookmarkEnd w:id="0"/>
    </w:p>
    <w:sectPr w:rsidR="008420E3" w:rsidSect="008420E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A00002EF" w:usb1="4000207B" w:usb2="00000000" w:usb3="00000000" w:csb0="0000009F" w:csb1="00000000"/>
  </w:font>
  <w:font w:name="Cambria">
    <w:panose1 w:val="02040503050406030204"/>
    <w:charset w:val="00"/>
    <w:family w:val="auto"/>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3F2"/>
    <w:rsid w:val="0027073C"/>
    <w:rsid w:val="00723FD4"/>
    <w:rsid w:val="008420E3"/>
    <w:rsid w:val="008613F2"/>
    <w:rsid w:val="00B55501"/>
    <w:rsid w:val="00C14746"/>
    <w:rsid w:val="00C46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5C515C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kern w:val="2"/>
      <w:sz w:val="24"/>
      <w:szCs w:val="24"/>
      <w:lang w:eastAsia="en-US"/>
    </w:rPr>
  </w:style>
  <w:style w:type="paragraph" w:styleId="Heading1">
    <w:name w:val="heading 1"/>
    <w:basedOn w:val="PlainText"/>
    <w:next w:val="Normal"/>
    <w:link w:val="Heading1Char"/>
    <w:autoRedefine/>
    <w:uiPriority w:val="9"/>
    <w:qFormat/>
    <w:rsid w:val="008613F2"/>
    <w:pPr>
      <w:keepNext/>
      <w:spacing w:before="240" w:after="60" w:line="360" w:lineRule="auto"/>
      <w:outlineLvl w:val="0"/>
    </w:pPr>
    <w:rPr>
      <w:rFonts w:ascii="Arial" w:eastAsiaTheme="majorEastAsia" w:hAnsi="Arial" w:cstheme="majorBidi"/>
      <w:b/>
      <w:bCs/>
      <w:color w:val="auto"/>
      <w:kern w:val="32"/>
      <w:sz w:val="24"/>
      <w:szCs w:val="32"/>
      <w:lang w:val="en-GB" w:eastAsia="de-DE"/>
    </w:rPr>
  </w:style>
  <w:style w:type="paragraph" w:styleId="Heading2">
    <w:name w:val="heading 2"/>
    <w:basedOn w:val="Normal"/>
    <w:next w:val="Normal"/>
    <w:link w:val="Heading2Char"/>
    <w:autoRedefine/>
    <w:qFormat/>
    <w:rsid w:val="008613F2"/>
    <w:pPr>
      <w:keepNext/>
      <w:spacing w:before="240" w:after="60"/>
      <w:outlineLvl w:val="1"/>
    </w:pPr>
    <w:rPr>
      <w:rFonts w:ascii="Arial" w:hAnsi="Arial"/>
      <w:b/>
      <w:i/>
      <w:color w:val="auto"/>
      <w:kern w:val="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3F2"/>
    <w:rPr>
      <w:rFonts w:ascii="Arial" w:eastAsiaTheme="majorEastAsia" w:hAnsi="Arial" w:cstheme="majorBidi"/>
      <w:b/>
      <w:bCs/>
      <w:kern w:val="32"/>
      <w:sz w:val="24"/>
      <w:szCs w:val="32"/>
      <w:lang w:val="en-GB" w:eastAsia="de-DE"/>
    </w:rPr>
  </w:style>
  <w:style w:type="character" w:customStyle="1" w:styleId="Heading2Char">
    <w:name w:val="Heading 2 Char"/>
    <w:basedOn w:val="DefaultParagraphFont"/>
    <w:link w:val="Heading2"/>
    <w:rsid w:val="008613F2"/>
    <w:rPr>
      <w:rFonts w:ascii="Arial" w:hAnsi="Arial"/>
      <w:b/>
      <w:i/>
      <w:sz w:val="22"/>
      <w:lang w:eastAsia="en-US"/>
    </w:rPr>
  </w:style>
  <w:style w:type="paragraph" w:styleId="PlainText">
    <w:name w:val="Plain Text"/>
    <w:basedOn w:val="Normal"/>
    <w:link w:val="PlainTextChar"/>
    <w:uiPriority w:val="99"/>
    <w:semiHidden/>
    <w:unhideWhenUsed/>
    <w:rsid w:val="008613F2"/>
    <w:rPr>
      <w:rFonts w:ascii="Courier" w:hAnsi="Courier"/>
      <w:sz w:val="21"/>
      <w:szCs w:val="21"/>
    </w:rPr>
  </w:style>
  <w:style w:type="character" w:customStyle="1" w:styleId="PlainTextChar">
    <w:name w:val="Plain Text Char"/>
    <w:basedOn w:val="DefaultParagraphFont"/>
    <w:link w:val="PlainText"/>
    <w:uiPriority w:val="99"/>
    <w:semiHidden/>
    <w:rsid w:val="008613F2"/>
    <w:rPr>
      <w:rFonts w:ascii="Courier" w:hAnsi="Courier"/>
      <w:color w:val="000000"/>
      <w:kern w:val="2"/>
      <w:sz w:val="21"/>
      <w:szCs w:val="21"/>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kern w:val="2"/>
      <w:sz w:val="24"/>
      <w:szCs w:val="24"/>
      <w:lang w:eastAsia="en-US"/>
    </w:rPr>
  </w:style>
  <w:style w:type="paragraph" w:styleId="Heading1">
    <w:name w:val="heading 1"/>
    <w:basedOn w:val="PlainText"/>
    <w:next w:val="Normal"/>
    <w:link w:val="Heading1Char"/>
    <w:autoRedefine/>
    <w:uiPriority w:val="9"/>
    <w:qFormat/>
    <w:rsid w:val="008613F2"/>
    <w:pPr>
      <w:keepNext/>
      <w:spacing w:before="240" w:after="60" w:line="360" w:lineRule="auto"/>
      <w:outlineLvl w:val="0"/>
    </w:pPr>
    <w:rPr>
      <w:rFonts w:ascii="Arial" w:eastAsiaTheme="majorEastAsia" w:hAnsi="Arial" w:cstheme="majorBidi"/>
      <w:b/>
      <w:bCs/>
      <w:color w:val="auto"/>
      <w:kern w:val="32"/>
      <w:sz w:val="24"/>
      <w:szCs w:val="32"/>
      <w:lang w:val="en-GB" w:eastAsia="de-DE"/>
    </w:rPr>
  </w:style>
  <w:style w:type="paragraph" w:styleId="Heading2">
    <w:name w:val="heading 2"/>
    <w:basedOn w:val="Normal"/>
    <w:next w:val="Normal"/>
    <w:link w:val="Heading2Char"/>
    <w:autoRedefine/>
    <w:qFormat/>
    <w:rsid w:val="008613F2"/>
    <w:pPr>
      <w:keepNext/>
      <w:spacing w:before="240" w:after="60"/>
      <w:outlineLvl w:val="1"/>
    </w:pPr>
    <w:rPr>
      <w:rFonts w:ascii="Arial" w:hAnsi="Arial"/>
      <w:b/>
      <w:i/>
      <w:color w:val="auto"/>
      <w:kern w:val="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3F2"/>
    <w:rPr>
      <w:rFonts w:ascii="Arial" w:eastAsiaTheme="majorEastAsia" w:hAnsi="Arial" w:cstheme="majorBidi"/>
      <w:b/>
      <w:bCs/>
      <w:kern w:val="32"/>
      <w:sz w:val="24"/>
      <w:szCs w:val="32"/>
      <w:lang w:val="en-GB" w:eastAsia="de-DE"/>
    </w:rPr>
  </w:style>
  <w:style w:type="character" w:customStyle="1" w:styleId="Heading2Char">
    <w:name w:val="Heading 2 Char"/>
    <w:basedOn w:val="DefaultParagraphFont"/>
    <w:link w:val="Heading2"/>
    <w:rsid w:val="008613F2"/>
    <w:rPr>
      <w:rFonts w:ascii="Arial" w:hAnsi="Arial"/>
      <w:b/>
      <w:i/>
      <w:sz w:val="22"/>
      <w:lang w:eastAsia="en-US"/>
    </w:rPr>
  </w:style>
  <w:style w:type="paragraph" w:styleId="PlainText">
    <w:name w:val="Plain Text"/>
    <w:basedOn w:val="Normal"/>
    <w:link w:val="PlainTextChar"/>
    <w:uiPriority w:val="99"/>
    <w:semiHidden/>
    <w:unhideWhenUsed/>
    <w:rsid w:val="008613F2"/>
    <w:rPr>
      <w:rFonts w:ascii="Courier" w:hAnsi="Courier"/>
      <w:sz w:val="21"/>
      <w:szCs w:val="21"/>
    </w:rPr>
  </w:style>
  <w:style w:type="character" w:customStyle="1" w:styleId="PlainTextChar">
    <w:name w:val="Plain Text Char"/>
    <w:basedOn w:val="DefaultParagraphFont"/>
    <w:link w:val="PlainText"/>
    <w:uiPriority w:val="99"/>
    <w:semiHidden/>
    <w:rsid w:val="008613F2"/>
    <w:rPr>
      <w:rFonts w:ascii="Courier" w:hAnsi="Courier"/>
      <w:color w:val="000000"/>
      <w:kern w:val="2"/>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1052</Words>
  <Characters>5998</Characters>
  <Application>Microsoft Macintosh Word</Application>
  <DocSecurity>0</DocSecurity>
  <Lines>49</Lines>
  <Paragraphs>14</Paragraphs>
  <ScaleCrop>false</ScaleCrop>
  <Company/>
  <LinksUpToDate>false</LinksUpToDate>
  <CharactersWithSpaces>7036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Mulligan</dc:creator>
  <cp:keywords/>
  <dc:description/>
  <cp:lastModifiedBy>Mary Mulligan</cp:lastModifiedBy>
  <cp:revision>1</cp:revision>
  <dcterms:created xsi:type="dcterms:W3CDTF">2013-04-11T19:49:00Z</dcterms:created>
  <dcterms:modified xsi:type="dcterms:W3CDTF">2013-04-11T19:50:00Z</dcterms:modified>
</cp:coreProperties>
</file>