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49F" w:rsidRPr="00CC1305" w:rsidRDefault="0035149F" w:rsidP="0035149F">
      <w:pPr>
        <w:pStyle w:val="BodyTextIndent"/>
        <w:autoSpaceDE w:val="0"/>
        <w:autoSpaceDN w:val="0"/>
        <w:spacing w:after="0" w:line="480" w:lineRule="auto"/>
        <w:ind w:firstLine="0"/>
        <w:rPr>
          <w:rFonts w:ascii="Times New Roman" w:hAnsi="Times New Roman"/>
          <w:b/>
          <w:sz w:val="22"/>
          <w:szCs w:val="22"/>
        </w:rPr>
      </w:pPr>
      <w:bookmarkStart w:id="0" w:name="_GoBack"/>
      <w:bookmarkEnd w:id="0"/>
      <w:r w:rsidRPr="00CC1305">
        <w:rPr>
          <w:rFonts w:ascii="Times New Roman" w:hAnsi="Times New Roman"/>
          <w:b/>
          <w:sz w:val="22"/>
          <w:szCs w:val="22"/>
        </w:rPr>
        <w:t>SUPPLEMENTARY EXPERIMENTAL PROCEDURES</w:t>
      </w:r>
    </w:p>
    <w:p w:rsidR="0035149F" w:rsidRPr="00F13C44" w:rsidRDefault="0035149F" w:rsidP="0035149F">
      <w:pPr>
        <w:spacing w:line="480" w:lineRule="auto"/>
        <w:rPr>
          <w:rFonts w:ascii="Times New Roman" w:hAnsi="Times New Roman"/>
          <w:b/>
          <w:sz w:val="22"/>
          <w:szCs w:val="22"/>
        </w:rPr>
      </w:pPr>
      <w:r w:rsidRPr="00F13C44">
        <w:rPr>
          <w:rFonts w:ascii="Times New Roman" w:hAnsi="Times New Roman"/>
          <w:b/>
          <w:sz w:val="22"/>
          <w:szCs w:val="22"/>
        </w:rPr>
        <w:t>Plasmids</w:t>
      </w:r>
    </w:p>
    <w:p w:rsidR="0035149F" w:rsidRPr="00CC1305" w:rsidRDefault="0035149F" w:rsidP="0035149F">
      <w:pPr>
        <w:spacing w:line="480" w:lineRule="auto"/>
        <w:rPr>
          <w:rFonts w:ascii="Times New Roman" w:hAnsi="Times New Roman"/>
          <w:sz w:val="22"/>
          <w:szCs w:val="22"/>
        </w:rPr>
      </w:pPr>
      <w:r w:rsidRPr="00CC1305">
        <w:rPr>
          <w:rFonts w:ascii="Times New Roman" w:hAnsi="Times New Roman"/>
          <w:sz w:val="22"/>
          <w:szCs w:val="22"/>
        </w:rPr>
        <w:t xml:space="preserve">To construct pCMV-5xMyc-eRF3a, </w:t>
      </w:r>
      <w:proofErr w:type="spellStart"/>
      <w:r w:rsidRPr="00CC1305">
        <w:rPr>
          <w:rFonts w:ascii="Times New Roman" w:hAnsi="Times New Roman"/>
          <w:sz w:val="22"/>
          <w:szCs w:val="22"/>
        </w:rPr>
        <w:t>cDNA</w:t>
      </w:r>
      <w:proofErr w:type="spellEnd"/>
      <w:r w:rsidRPr="00CC1305">
        <w:rPr>
          <w:rFonts w:ascii="Times New Roman" w:hAnsi="Times New Roman"/>
          <w:sz w:val="22"/>
          <w:szCs w:val="22"/>
        </w:rPr>
        <w:t xml:space="preserve"> encoding human eRF3a was inserted into the </w:t>
      </w:r>
      <w:proofErr w:type="spellStart"/>
      <w:r w:rsidRPr="00CC1305">
        <w:rPr>
          <w:rFonts w:ascii="Times New Roman" w:hAnsi="Times New Roman"/>
          <w:i/>
          <w:sz w:val="22"/>
          <w:szCs w:val="22"/>
        </w:rPr>
        <w:t>Eco</w:t>
      </w:r>
      <w:r w:rsidRPr="00CC1305">
        <w:rPr>
          <w:rFonts w:ascii="Times New Roman" w:hAnsi="Times New Roman"/>
          <w:sz w:val="22"/>
          <w:szCs w:val="22"/>
        </w:rPr>
        <w:t>RI</w:t>
      </w:r>
      <w:proofErr w:type="spellEnd"/>
      <w:r w:rsidRPr="00CC1305">
        <w:rPr>
          <w:rFonts w:ascii="Times New Roman" w:hAnsi="Times New Roman"/>
          <w:sz w:val="22"/>
          <w:szCs w:val="22"/>
        </w:rPr>
        <w:t xml:space="preserve"> and </w:t>
      </w:r>
      <w:proofErr w:type="spellStart"/>
      <w:r w:rsidRPr="00CC1305">
        <w:rPr>
          <w:rFonts w:ascii="Times New Roman" w:hAnsi="Times New Roman"/>
          <w:i/>
          <w:sz w:val="22"/>
          <w:szCs w:val="22"/>
        </w:rPr>
        <w:t>Sal</w:t>
      </w:r>
      <w:r>
        <w:rPr>
          <w:rFonts w:ascii="Times New Roman" w:hAnsi="Times New Roman"/>
          <w:sz w:val="22"/>
          <w:szCs w:val="22"/>
        </w:rPr>
        <w:t>I</w:t>
      </w:r>
      <w:proofErr w:type="spellEnd"/>
      <w:r>
        <w:rPr>
          <w:rFonts w:ascii="Times New Roman" w:hAnsi="Times New Roman"/>
          <w:sz w:val="22"/>
          <w:szCs w:val="22"/>
        </w:rPr>
        <w:t xml:space="preserve"> sites of pCMV-5xMyc. </w:t>
      </w:r>
      <w:r w:rsidRPr="00CC1305">
        <w:rPr>
          <w:rFonts w:ascii="Times New Roman" w:hAnsi="Times New Roman"/>
          <w:sz w:val="22"/>
          <w:szCs w:val="22"/>
        </w:rPr>
        <w:t xml:space="preserve">To construct pCMV-5xFlag-luc2, luc2 </w:t>
      </w:r>
      <w:proofErr w:type="spellStart"/>
      <w:r w:rsidRPr="00CC1305">
        <w:rPr>
          <w:rFonts w:ascii="Times New Roman" w:hAnsi="Times New Roman"/>
          <w:sz w:val="22"/>
          <w:szCs w:val="22"/>
        </w:rPr>
        <w:t>cDNA</w:t>
      </w:r>
      <w:proofErr w:type="spellEnd"/>
      <w:r w:rsidRPr="00CC1305">
        <w:rPr>
          <w:rFonts w:ascii="Times New Roman" w:hAnsi="Times New Roman"/>
          <w:sz w:val="22"/>
          <w:szCs w:val="22"/>
        </w:rPr>
        <w:t xml:space="preserve"> was PCR-</w:t>
      </w:r>
      <w:proofErr w:type="spellStart"/>
      <w:r w:rsidRPr="00CC1305">
        <w:rPr>
          <w:rFonts w:ascii="Times New Roman" w:hAnsi="Times New Roman"/>
          <w:sz w:val="22"/>
          <w:szCs w:val="22"/>
        </w:rPr>
        <w:t>amplifed</w:t>
      </w:r>
      <w:proofErr w:type="spellEnd"/>
      <w:r w:rsidRPr="00CC1305">
        <w:rPr>
          <w:rFonts w:ascii="Times New Roman" w:hAnsi="Times New Roman"/>
          <w:sz w:val="22"/>
          <w:szCs w:val="22"/>
        </w:rPr>
        <w:t xml:space="preserve"> using pGL4.16 (</w:t>
      </w:r>
      <w:proofErr w:type="spellStart"/>
      <w:r w:rsidRPr="00CC1305">
        <w:rPr>
          <w:rFonts w:ascii="Times New Roman" w:hAnsi="Times New Roman"/>
          <w:sz w:val="22"/>
          <w:szCs w:val="22"/>
        </w:rPr>
        <w:t>Promega</w:t>
      </w:r>
      <w:proofErr w:type="spellEnd"/>
      <w:r w:rsidRPr="00CC1305">
        <w:rPr>
          <w:rFonts w:ascii="Times New Roman" w:hAnsi="Times New Roman"/>
          <w:sz w:val="22"/>
          <w:szCs w:val="22"/>
        </w:rPr>
        <w:t>) as a template and the primers NH0363 (sense) and NH0373 (a</w:t>
      </w:r>
      <w:r>
        <w:rPr>
          <w:rFonts w:ascii="Times New Roman" w:hAnsi="Times New Roman"/>
          <w:sz w:val="22"/>
          <w:szCs w:val="22"/>
        </w:rPr>
        <w:t xml:space="preserve">ntisense). </w:t>
      </w:r>
      <w:r w:rsidRPr="00CC1305">
        <w:rPr>
          <w:rFonts w:ascii="Times New Roman" w:hAnsi="Times New Roman"/>
          <w:sz w:val="22"/>
          <w:szCs w:val="22"/>
        </w:rPr>
        <w:t xml:space="preserve">The resulting DNA was inserted into the </w:t>
      </w:r>
      <w:proofErr w:type="spellStart"/>
      <w:r w:rsidRPr="00CC1305">
        <w:rPr>
          <w:rFonts w:ascii="Times New Roman" w:hAnsi="Times New Roman"/>
          <w:i/>
          <w:sz w:val="22"/>
          <w:szCs w:val="22"/>
        </w:rPr>
        <w:t>Hind</w:t>
      </w:r>
      <w:r w:rsidRPr="00CC1305">
        <w:rPr>
          <w:rFonts w:ascii="Times New Roman" w:hAnsi="Times New Roman"/>
          <w:sz w:val="22"/>
          <w:szCs w:val="22"/>
        </w:rPr>
        <w:t>III</w:t>
      </w:r>
      <w:proofErr w:type="spellEnd"/>
      <w:r w:rsidRPr="00CC1305">
        <w:rPr>
          <w:rFonts w:ascii="Times New Roman" w:hAnsi="Times New Roman"/>
          <w:sz w:val="22"/>
          <w:szCs w:val="22"/>
        </w:rPr>
        <w:t xml:space="preserve"> and </w:t>
      </w:r>
      <w:proofErr w:type="spellStart"/>
      <w:r w:rsidRPr="00CC1305">
        <w:rPr>
          <w:rFonts w:ascii="Times New Roman" w:hAnsi="Times New Roman"/>
          <w:i/>
          <w:sz w:val="22"/>
          <w:szCs w:val="22"/>
        </w:rPr>
        <w:t>Xho</w:t>
      </w:r>
      <w:r w:rsidRPr="00CC1305">
        <w:rPr>
          <w:rFonts w:ascii="Times New Roman" w:hAnsi="Times New Roman"/>
          <w:sz w:val="22"/>
          <w:szCs w:val="22"/>
        </w:rPr>
        <w:t>I</w:t>
      </w:r>
      <w:proofErr w:type="spellEnd"/>
      <w:r w:rsidRPr="00CC1305">
        <w:rPr>
          <w:rFonts w:ascii="Times New Roman" w:hAnsi="Times New Roman"/>
          <w:sz w:val="22"/>
          <w:szCs w:val="22"/>
        </w:rPr>
        <w:t xml:space="preserve"> sites of pCM</w:t>
      </w:r>
      <w:r>
        <w:rPr>
          <w:rFonts w:ascii="Times New Roman" w:hAnsi="Times New Roman"/>
          <w:sz w:val="22"/>
          <w:szCs w:val="22"/>
        </w:rPr>
        <w:t>V-5xFlag (</w:t>
      </w:r>
      <w:proofErr w:type="spellStart"/>
      <w:r>
        <w:rPr>
          <w:rFonts w:ascii="Times New Roman" w:hAnsi="Times New Roman"/>
          <w:sz w:val="22"/>
          <w:szCs w:val="22"/>
        </w:rPr>
        <w:t>Ruan</w:t>
      </w:r>
      <w:proofErr w:type="spellEnd"/>
      <w:r>
        <w:rPr>
          <w:rFonts w:ascii="Times New Roman" w:hAnsi="Times New Roman"/>
          <w:sz w:val="22"/>
          <w:szCs w:val="22"/>
        </w:rPr>
        <w:t xml:space="preserve"> et. al., 2010). </w:t>
      </w:r>
      <w:r w:rsidRPr="00CC1305">
        <w:rPr>
          <w:rFonts w:ascii="Times New Roman" w:hAnsi="Times New Roman"/>
          <w:sz w:val="22"/>
          <w:szCs w:val="22"/>
        </w:rPr>
        <w:t xml:space="preserve">To construct pCMV-5xFlag-GST-luc2, pCMV-5xFlag-GST-UGA-luc2, pCMV-5xFlag-GST-UAA-luc2, and pCMV-5xFlag-GST-UAG-luc2, GST </w:t>
      </w:r>
      <w:proofErr w:type="spellStart"/>
      <w:r w:rsidRPr="00CC1305">
        <w:rPr>
          <w:rFonts w:ascii="Times New Roman" w:hAnsi="Times New Roman"/>
          <w:sz w:val="22"/>
          <w:szCs w:val="22"/>
        </w:rPr>
        <w:t>cDNA</w:t>
      </w:r>
      <w:proofErr w:type="spellEnd"/>
      <w:r w:rsidRPr="00CC1305">
        <w:rPr>
          <w:rFonts w:ascii="Times New Roman" w:hAnsi="Times New Roman"/>
          <w:sz w:val="22"/>
          <w:szCs w:val="22"/>
        </w:rPr>
        <w:t xml:space="preserve"> fragments were generated by PCR using pGEX6P1 (GE Healthcare) as a template and either primer pair NH0235 (sense) and NH0236 (antisense), NH0235 (sense) and NH0653 (antisense), NH0235 (sense) and NH0651 (antisense), or NH0235 (sense) and NH0</w:t>
      </w:r>
      <w:r>
        <w:rPr>
          <w:rFonts w:ascii="Times New Roman" w:hAnsi="Times New Roman"/>
          <w:sz w:val="22"/>
          <w:szCs w:val="22"/>
        </w:rPr>
        <w:t xml:space="preserve">652 (antisense), respectively. </w:t>
      </w:r>
      <w:r w:rsidRPr="00CC1305">
        <w:rPr>
          <w:rFonts w:ascii="Times New Roman" w:hAnsi="Times New Roman"/>
          <w:sz w:val="22"/>
          <w:szCs w:val="22"/>
        </w:rPr>
        <w:t xml:space="preserve">The resulting fragments were inserted into the </w:t>
      </w:r>
      <w:proofErr w:type="spellStart"/>
      <w:r w:rsidRPr="00CC1305">
        <w:rPr>
          <w:rFonts w:ascii="Times New Roman" w:hAnsi="Times New Roman"/>
          <w:i/>
          <w:sz w:val="22"/>
          <w:szCs w:val="22"/>
        </w:rPr>
        <w:t>Hind</w:t>
      </w:r>
      <w:r w:rsidRPr="00CC1305">
        <w:rPr>
          <w:rFonts w:ascii="Times New Roman" w:hAnsi="Times New Roman"/>
          <w:sz w:val="22"/>
          <w:szCs w:val="22"/>
        </w:rPr>
        <w:t>III</w:t>
      </w:r>
      <w:proofErr w:type="spellEnd"/>
      <w:r w:rsidRPr="00CC1305">
        <w:rPr>
          <w:rFonts w:ascii="Times New Roman" w:hAnsi="Times New Roman"/>
          <w:sz w:val="22"/>
          <w:szCs w:val="22"/>
        </w:rPr>
        <w:t xml:space="preserve"> site of the pCMV-5xFlag-luc2.  </w:t>
      </w:r>
    </w:p>
    <w:p w:rsidR="0035149F" w:rsidRPr="00CC1305" w:rsidRDefault="0035149F" w:rsidP="0035149F">
      <w:pPr>
        <w:spacing w:line="480" w:lineRule="auto"/>
        <w:rPr>
          <w:rFonts w:ascii="Times New Roman" w:hAnsi="Times New Roman"/>
          <w:sz w:val="22"/>
          <w:szCs w:val="22"/>
        </w:rPr>
      </w:pPr>
      <w:r w:rsidRPr="00CC1305">
        <w:rPr>
          <w:rFonts w:ascii="Times New Roman" w:hAnsi="Times New Roman"/>
          <w:sz w:val="22"/>
          <w:szCs w:val="22"/>
        </w:rPr>
        <w:t xml:space="preserve">Primers used in the PCR reactions were as follows.  </w:t>
      </w:r>
    </w:p>
    <w:p w:rsidR="0035149F" w:rsidRPr="00CC1305" w:rsidRDefault="0035149F" w:rsidP="0035149F">
      <w:pPr>
        <w:spacing w:line="480" w:lineRule="auto"/>
        <w:rPr>
          <w:rFonts w:ascii="Times New Roman" w:hAnsi="Times New Roman"/>
          <w:color w:val="000000"/>
          <w:sz w:val="22"/>
          <w:szCs w:val="22"/>
        </w:rPr>
      </w:pPr>
      <w:r w:rsidRPr="00CC1305">
        <w:rPr>
          <w:rFonts w:ascii="Times New Roman" w:hAnsi="Times New Roman"/>
          <w:sz w:val="22"/>
          <w:szCs w:val="22"/>
        </w:rPr>
        <w:t xml:space="preserve">NH0363: 5’ </w:t>
      </w:r>
      <w:r w:rsidRPr="00CC1305">
        <w:rPr>
          <w:rFonts w:ascii="Times New Roman" w:hAnsi="Times New Roman"/>
          <w:color w:val="000000"/>
          <w:sz w:val="22"/>
          <w:szCs w:val="22"/>
        </w:rPr>
        <w:t>CAA TCC AAG CTT GTT GGT AAA GCC ACC ATG 3’</w:t>
      </w:r>
    </w:p>
    <w:p w:rsidR="0035149F" w:rsidRPr="00CC1305" w:rsidRDefault="0035149F" w:rsidP="0035149F">
      <w:pPr>
        <w:spacing w:line="480" w:lineRule="auto"/>
        <w:rPr>
          <w:rFonts w:ascii="Times New Roman" w:hAnsi="Times New Roman"/>
          <w:sz w:val="22"/>
          <w:szCs w:val="22"/>
        </w:rPr>
      </w:pPr>
      <w:r w:rsidRPr="00CC1305">
        <w:rPr>
          <w:rFonts w:ascii="Times New Roman" w:hAnsi="Times New Roman"/>
          <w:sz w:val="22"/>
          <w:szCs w:val="22"/>
        </w:rPr>
        <w:t xml:space="preserve">NH0373: 5’ </w:t>
      </w:r>
      <w:r w:rsidRPr="00CC1305">
        <w:rPr>
          <w:rFonts w:ascii="Times New Roman" w:hAnsi="Times New Roman"/>
          <w:color w:val="000000"/>
          <w:sz w:val="22"/>
          <w:szCs w:val="22"/>
        </w:rPr>
        <w:t xml:space="preserve">TGC CTC GAG TTA CAC GGC GAT CTT GCC </w:t>
      </w:r>
      <w:proofErr w:type="spellStart"/>
      <w:r w:rsidRPr="00CC1305">
        <w:rPr>
          <w:rFonts w:ascii="Times New Roman" w:hAnsi="Times New Roman"/>
          <w:color w:val="000000"/>
          <w:sz w:val="22"/>
          <w:szCs w:val="22"/>
        </w:rPr>
        <w:t>GCC</w:t>
      </w:r>
      <w:proofErr w:type="spellEnd"/>
      <w:r w:rsidRPr="00CC1305">
        <w:rPr>
          <w:rFonts w:ascii="Times New Roman" w:hAnsi="Times New Roman"/>
          <w:color w:val="000000"/>
          <w:sz w:val="22"/>
          <w:szCs w:val="22"/>
        </w:rPr>
        <w:t xml:space="preserve"> 3’ </w:t>
      </w:r>
    </w:p>
    <w:p w:rsidR="0035149F" w:rsidRPr="00CC1305" w:rsidRDefault="0035149F" w:rsidP="0035149F">
      <w:pPr>
        <w:spacing w:line="480" w:lineRule="auto"/>
        <w:rPr>
          <w:rFonts w:ascii="Times New Roman" w:hAnsi="Times New Roman"/>
          <w:color w:val="000000"/>
          <w:sz w:val="22"/>
          <w:szCs w:val="22"/>
        </w:rPr>
      </w:pPr>
      <w:r w:rsidRPr="00CC1305">
        <w:rPr>
          <w:rFonts w:ascii="Times New Roman" w:hAnsi="Times New Roman"/>
          <w:color w:val="000000"/>
          <w:sz w:val="22"/>
          <w:szCs w:val="22"/>
        </w:rPr>
        <w:t xml:space="preserve">NH0235: </w:t>
      </w:r>
      <w:r w:rsidRPr="00CC1305">
        <w:rPr>
          <w:rFonts w:ascii="Times New Roman" w:hAnsi="Times New Roman"/>
          <w:sz w:val="22"/>
          <w:szCs w:val="22"/>
        </w:rPr>
        <w:t xml:space="preserve">5’ </w:t>
      </w:r>
      <w:r w:rsidRPr="00CC1305">
        <w:rPr>
          <w:rFonts w:ascii="Times New Roman" w:hAnsi="Times New Roman"/>
          <w:color w:val="000000"/>
          <w:sz w:val="22"/>
          <w:szCs w:val="22"/>
        </w:rPr>
        <w:t>ACA GTA AAG CTT TCC CCT ATA CTA GGT TAT 3’</w:t>
      </w:r>
    </w:p>
    <w:p w:rsidR="0035149F" w:rsidRPr="00CC1305" w:rsidRDefault="0035149F" w:rsidP="0035149F">
      <w:pPr>
        <w:spacing w:line="480" w:lineRule="auto"/>
        <w:rPr>
          <w:rFonts w:ascii="Times New Roman" w:hAnsi="Times New Roman"/>
          <w:color w:val="000000"/>
          <w:sz w:val="22"/>
          <w:szCs w:val="22"/>
        </w:rPr>
      </w:pPr>
      <w:r w:rsidRPr="00CC1305">
        <w:rPr>
          <w:rFonts w:ascii="Times New Roman" w:hAnsi="Times New Roman"/>
          <w:color w:val="000000"/>
          <w:sz w:val="22"/>
          <w:szCs w:val="22"/>
        </w:rPr>
        <w:t xml:space="preserve">NH0236: </w:t>
      </w:r>
      <w:r w:rsidRPr="00CC1305">
        <w:rPr>
          <w:rFonts w:ascii="Times New Roman" w:hAnsi="Times New Roman"/>
          <w:sz w:val="22"/>
          <w:szCs w:val="22"/>
        </w:rPr>
        <w:t xml:space="preserve">5’ </w:t>
      </w:r>
      <w:r w:rsidRPr="00CC1305">
        <w:rPr>
          <w:rFonts w:ascii="Times New Roman" w:hAnsi="Times New Roman"/>
          <w:color w:val="000000"/>
          <w:sz w:val="22"/>
          <w:szCs w:val="22"/>
        </w:rPr>
        <w:t>CAG AAC AAG CTT ATC CGA TTT TGG AGG ATG 3’</w:t>
      </w:r>
    </w:p>
    <w:p w:rsidR="0035149F" w:rsidRPr="00CC1305" w:rsidRDefault="0035149F" w:rsidP="0035149F">
      <w:pPr>
        <w:spacing w:line="480" w:lineRule="auto"/>
        <w:rPr>
          <w:rFonts w:ascii="Times New Roman" w:hAnsi="Times New Roman"/>
          <w:sz w:val="22"/>
          <w:szCs w:val="22"/>
        </w:rPr>
      </w:pPr>
      <w:r w:rsidRPr="00CC1305">
        <w:rPr>
          <w:rFonts w:ascii="Times New Roman" w:hAnsi="Times New Roman"/>
          <w:sz w:val="22"/>
          <w:szCs w:val="22"/>
        </w:rPr>
        <w:t xml:space="preserve">NH0651: 5’ </w:t>
      </w:r>
      <w:r w:rsidRPr="00CC1305">
        <w:rPr>
          <w:rFonts w:ascii="Times New Roman" w:hAnsi="Times New Roman"/>
          <w:color w:val="000000"/>
          <w:sz w:val="22"/>
          <w:szCs w:val="22"/>
        </w:rPr>
        <w:t xml:space="preserve">AAC AAG CTT TTA ATC CGA TTT TGG AGG ATG 3’ </w:t>
      </w:r>
    </w:p>
    <w:p w:rsidR="0035149F" w:rsidRPr="00CC1305" w:rsidRDefault="0035149F" w:rsidP="0035149F">
      <w:pPr>
        <w:spacing w:line="480" w:lineRule="auto"/>
        <w:rPr>
          <w:rFonts w:ascii="Times New Roman" w:hAnsi="Times New Roman"/>
          <w:sz w:val="22"/>
          <w:szCs w:val="22"/>
        </w:rPr>
      </w:pPr>
      <w:r w:rsidRPr="00CC1305">
        <w:rPr>
          <w:rFonts w:ascii="Times New Roman" w:hAnsi="Times New Roman"/>
          <w:sz w:val="22"/>
          <w:szCs w:val="22"/>
        </w:rPr>
        <w:t xml:space="preserve">NH0652: 5’ </w:t>
      </w:r>
      <w:r w:rsidRPr="00CC1305">
        <w:rPr>
          <w:rFonts w:ascii="Times New Roman" w:hAnsi="Times New Roman"/>
          <w:color w:val="000000"/>
          <w:sz w:val="22"/>
          <w:szCs w:val="22"/>
        </w:rPr>
        <w:t>AAC AAG CTT CTA ATC CGA TTT TGG AGG ATG 3’</w:t>
      </w:r>
    </w:p>
    <w:p w:rsidR="0035149F" w:rsidRPr="00CC1305" w:rsidRDefault="0035149F" w:rsidP="0035149F">
      <w:pPr>
        <w:spacing w:line="480" w:lineRule="auto"/>
        <w:rPr>
          <w:rFonts w:ascii="Times New Roman" w:hAnsi="Times New Roman"/>
          <w:sz w:val="22"/>
          <w:szCs w:val="22"/>
        </w:rPr>
      </w:pPr>
      <w:r w:rsidRPr="00CC1305">
        <w:rPr>
          <w:rFonts w:ascii="Times New Roman" w:hAnsi="Times New Roman"/>
          <w:sz w:val="22"/>
          <w:szCs w:val="22"/>
        </w:rPr>
        <w:t xml:space="preserve">NH0653: 5’ </w:t>
      </w:r>
      <w:r w:rsidRPr="00CC1305">
        <w:rPr>
          <w:rFonts w:ascii="Times New Roman" w:hAnsi="Times New Roman"/>
          <w:color w:val="000000"/>
          <w:sz w:val="22"/>
          <w:szCs w:val="22"/>
        </w:rPr>
        <w:t>AAC AAG CTT TCA ATC CGA TTT TGG AGG ATG 3’</w:t>
      </w:r>
    </w:p>
    <w:p w:rsidR="0035149F" w:rsidRPr="00CC1305" w:rsidRDefault="0035149F" w:rsidP="0035149F">
      <w:pPr>
        <w:spacing w:line="480" w:lineRule="auto"/>
        <w:rPr>
          <w:rFonts w:ascii="Times New Roman" w:hAnsi="Times New Roman"/>
          <w:i/>
          <w:sz w:val="22"/>
          <w:szCs w:val="22"/>
        </w:rPr>
      </w:pPr>
    </w:p>
    <w:p w:rsidR="0035149F" w:rsidRPr="00F13C44" w:rsidRDefault="0035149F" w:rsidP="0035149F">
      <w:pPr>
        <w:spacing w:line="480" w:lineRule="auto"/>
        <w:rPr>
          <w:rFonts w:ascii="Times New Roman" w:hAnsi="Times New Roman"/>
          <w:b/>
          <w:sz w:val="22"/>
          <w:szCs w:val="22"/>
        </w:rPr>
      </w:pPr>
      <w:r w:rsidRPr="00F13C44">
        <w:rPr>
          <w:rFonts w:ascii="Times New Roman" w:hAnsi="Times New Roman"/>
          <w:b/>
          <w:sz w:val="22"/>
          <w:szCs w:val="22"/>
        </w:rPr>
        <w:t>Translational read through analysis</w:t>
      </w:r>
    </w:p>
    <w:p w:rsidR="0035149F" w:rsidRDefault="0035149F" w:rsidP="0035149F">
      <w:pPr>
        <w:spacing w:line="480" w:lineRule="auto"/>
        <w:rPr>
          <w:rFonts w:ascii="Times New Roman" w:hAnsi="Times New Roman"/>
          <w:sz w:val="22"/>
          <w:szCs w:val="22"/>
        </w:rPr>
      </w:pPr>
      <w:r w:rsidRPr="00CC1305">
        <w:rPr>
          <w:rFonts w:ascii="Times New Roman" w:hAnsi="Times New Roman"/>
          <w:sz w:val="22"/>
          <w:szCs w:val="22"/>
        </w:rPr>
        <w:lastRenderedPageBreak/>
        <w:t xml:space="preserve">HeLa cells were co-transfected with </w:t>
      </w:r>
      <w:proofErr w:type="gramStart"/>
      <w:r w:rsidRPr="00CC1305">
        <w:rPr>
          <w:rFonts w:ascii="Times New Roman" w:hAnsi="Times New Roman"/>
          <w:sz w:val="22"/>
          <w:szCs w:val="22"/>
        </w:rPr>
        <w:t>either pCMV</w:t>
      </w:r>
      <w:proofErr w:type="gramEnd"/>
      <w:r w:rsidRPr="00CC1305">
        <w:rPr>
          <w:rFonts w:ascii="Times New Roman" w:hAnsi="Times New Roman"/>
          <w:sz w:val="22"/>
          <w:szCs w:val="22"/>
        </w:rPr>
        <w:t>-5xFlag-GST-luc2, pCMV-5xFlag-GST-UGA-luc2, pCMV-5xFlag-GST-UAA-luc2, or pCMV-5xFlag-GST-UAG-luc2 and either pCMV-5xMyc, pCMV-5xMyc, pCMV-5xMyc-eRF3b (F66A), pCMV-5xMyc-eRF3b (F75A), pCMV-5xMyc-eRF3b (F6</w:t>
      </w:r>
      <w:r>
        <w:rPr>
          <w:rFonts w:ascii="Times New Roman" w:hAnsi="Times New Roman"/>
          <w:sz w:val="22"/>
          <w:szCs w:val="22"/>
        </w:rPr>
        <w:t xml:space="preserve">6A/F75A), or pCMV-5xMyc-eRF3b. </w:t>
      </w:r>
      <w:r w:rsidRPr="00CC1305">
        <w:rPr>
          <w:rFonts w:ascii="Times New Roman" w:hAnsi="Times New Roman"/>
          <w:sz w:val="22"/>
          <w:szCs w:val="22"/>
        </w:rPr>
        <w:t>One day la</w:t>
      </w:r>
      <w:r>
        <w:rPr>
          <w:rFonts w:ascii="Times New Roman" w:hAnsi="Times New Roman"/>
          <w:sz w:val="22"/>
          <w:szCs w:val="22"/>
        </w:rPr>
        <w:t xml:space="preserve">ter, the cells were harvested. </w:t>
      </w:r>
      <w:r w:rsidRPr="00CC1305">
        <w:rPr>
          <w:rFonts w:ascii="Times New Roman" w:hAnsi="Times New Roman"/>
          <w:sz w:val="22"/>
          <w:szCs w:val="22"/>
        </w:rPr>
        <w:t>Total cellular protein was isolated as described previously (</w:t>
      </w:r>
      <w:proofErr w:type="spellStart"/>
      <w:r w:rsidRPr="00CC1305">
        <w:rPr>
          <w:rFonts w:ascii="Times New Roman" w:hAnsi="Times New Roman"/>
          <w:sz w:val="22"/>
          <w:szCs w:val="22"/>
        </w:rPr>
        <w:t>Ruan</w:t>
      </w:r>
      <w:proofErr w:type="spellEnd"/>
      <w:r w:rsidRPr="00CC1305">
        <w:rPr>
          <w:rFonts w:ascii="Times New Roman" w:hAnsi="Times New Roman"/>
          <w:sz w:val="22"/>
          <w:szCs w:val="22"/>
        </w:rPr>
        <w:t xml:space="preserve"> et. al., 2010) and analyzed by western blotting using anti-Flag M2 ant</w:t>
      </w:r>
      <w:r>
        <w:rPr>
          <w:rFonts w:ascii="Times New Roman" w:hAnsi="Times New Roman"/>
          <w:sz w:val="22"/>
          <w:szCs w:val="22"/>
        </w:rPr>
        <w:t>ibody (Sigma).</w:t>
      </w:r>
      <w:r w:rsidRPr="00CC1305">
        <w:rPr>
          <w:rFonts w:ascii="Times New Roman" w:hAnsi="Times New Roman"/>
          <w:sz w:val="22"/>
          <w:szCs w:val="22"/>
        </w:rPr>
        <w:t xml:space="preserve"> Expression levels of 5xFlag-GST and 5xFlag-GST-luc2 proteins were calculated using Image Gauge Ver. 4.23 (FUJIFILM) software.  </w:t>
      </w:r>
    </w:p>
    <w:p w:rsidR="0035149F" w:rsidRPr="00CC1305" w:rsidRDefault="0035149F" w:rsidP="0035149F">
      <w:pPr>
        <w:spacing w:line="480" w:lineRule="auto"/>
        <w:rPr>
          <w:rFonts w:ascii="Times New Roman" w:eastAsia="MS PMincho" w:hAnsi="Times New Roman"/>
          <w:sz w:val="22"/>
          <w:szCs w:val="22"/>
        </w:rPr>
      </w:pPr>
    </w:p>
    <w:p w:rsidR="0035149F" w:rsidRPr="00CC1305" w:rsidRDefault="0035149F" w:rsidP="0035149F">
      <w:pPr>
        <w:pStyle w:val="BodyTextIndent"/>
        <w:autoSpaceDE w:val="0"/>
        <w:autoSpaceDN w:val="0"/>
        <w:spacing w:line="480" w:lineRule="auto"/>
        <w:ind w:firstLine="0"/>
        <w:rPr>
          <w:rFonts w:ascii="Times New Roman" w:hAnsi="Times New Roman"/>
          <w:b/>
          <w:sz w:val="22"/>
          <w:szCs w:val="22"/>
        </w:rPr>
      </w:pPr>
      <w:r w:rsidRPr="00CC1305">
        <w:rPr>
          <w:rFonts w:ascii="Times New Roman" w:hAnsi="Times New Roman"/>
          <w:b/>
          <w:sz w:val="22"/>
          <w:szCs w:val="22"/>
        </w:rPr>
        <w:t>SUPPLEMENTARY RESULTS</w:t>
      </w:r>
    </w:p>
    <w:p w:rsidR="0035149F" w:rsidRPr="002B3F5D" w:rsidRDefault="0035149F" w:rsidP="0035149F">
      <w:pPr>
        <w:spacing w:line="480" w:lineRule="auto"/>
        <w:rPr>
          <w:rFonts w:ascii="Times New Roman" w:hAnsi="Times New Roman"/>
          <w:b/>
          <w:sz w:val="22"/>
          <w:szCs w:val="22"/>
        </w:rPr>
      </w:pPr>
      <w:r w:rsidRPr="002B3F5D">
        <w:rPr>
          <w:rFonts w:ascii="Times New Roman" w:hAnsi="Times New Roman"/>
          <w:b/>
          <w:sz w:val="22"/>
          <w:szCs w:val="22"/>
        </w:rPr>
        <w:t>The expression levels of eRF3</w:t>
      </w:r>
    </w:p>
    <w:p w:rsidR="0035149F" w:rsidRDefault="0035149F" w:rsidP="0035149F">
      <w:pPr>
        <w:spacing w:line="480" w:lineRule="auto"/>
        <w:rPr>
          <w:rFonts w:ascii="Times New Roman" w:hAnsi="Times New Roman"/>
          <w:sz w:val="22"/>
          <w:szCs w:val="22"/>
        </w:rPr>
      </w:pPr>
      <w:r>
        <w:rPr>
          <w:rFonts w:ascii="Times New Roman" w:hAnsi="Times New Roman"/>
          <w:sz w:val="22"/>
          <w:szCs w:val="22"/>
        </w:rPr>
        <w:t>T</w:t>
      </w:r>
      <w:r w:rsidRPr="002B3F5D">
        <w:rPr>
          <w:rFonts w:ascii="Times New Roman" w:hAnsi="Times New Roman"/>
          <w:sz w:val="22"/>
          <w:szCs w:val="22"/>
        </w:rPr>
        <w:t xml:space="preserve">he level of exogenously expressed eRF3b </w:t>
      </w:r>
      <w:r>
        <w:rPr>
          <w:rFonts w:ascii="Times New Roman" w:hAnsi="Times New Roman"/>
          <w:sz w:val="22"/>
          <w:szCs w:val="22"/>
        </w:rPr>
        <w:t xml:space="preserve">was examined </w:t>
      </w:r>
      <w:r w:rsidRPr="002B3F5D">
        <w:rPr>
          <w:rFonts w:ascii="Times New Roman" w:hAnsi="Times New Roman"/>
          <w:sz w:val="22"/>
          <w:szCs w:val="22"/>
        </w:rPr>
        <w:t xml:space="preserve">by performing western blot analysis using </w:t>
      </w:r>
      <w:r>
        <w:rPr>
          <w:rFonts w:ascii="Times New Roman" w:hAnsi="Times New Roman"/>
          <w:sz w:val="22"/>
          <w:szCs w:val="22"/>
        </w:rPr>
        <w:t xml:space="preserve">an </w:t>
      </w:r>
      <w:r w:rsidRPr="002B3F5D">
        <w:rPr>
          <w:rFonts w:ascii="Times New Roman" w:hAnsi="Times New Roman"/>
          <w:sz w:val="22"/>
          <w:szCs w:val="22"/>
        </w:rPr>
        <w:t>anti-eRF3 antibody</w:t>
      </w:r>
      <w:r>
        <w:rPr>
          <w:rFonts w:ascii="Times New Roman" w:hAnsi="Times New Roman"/>
          <w:sz w:val="22"/>
          <w:szCs w:val="22"/>
        </w:rPr>
        <w:t xml:space="preserve"> (</w:t>
      </w:r>
      <w:r w:rsidRPr="002B3F5D">
        <w:rPr>
          <w:rFonts w:ascii="Times New Roman" w:hAnsi="Times New Roman"/>
          <w:sz w:val="22"/>
          <w:szCs w:val="22"/>
        </w:rPr>
        <w:t xml:space="preserve">Supplementary </w:t>
      </w:r>
      <w:r>
        <w:rPr>
          <w:rFonts w:ascii="Times New Roman" w:hAnsi="Times New Roman"/>
          <w:sz w:val="22"/>
          <w:szCs w:val="22"/>
        </w:rPr>
        <w:t>F</w:t>
      </w:r>
      <w:r w:rsidRPr="002B3F5D">
        <w:rPr>
          <w:rFonts w:ascii="Times New Roman" w:hAnsi="Times New Roman"/>
          <w:sz w:val="22"/>
          <w:szCs w:val="22"/>
        </w:rPr>
        <w:t>igure 1</w:t>
      </w:r>
      <w:r>
        <w:rPr>
          <w:rFonts w:ascii="Times New Roman" w:hAnsi="Times New Roman"/>
          <w:sz w:val="22"/>
          <w:szCs w:val="22"/>
        </w:rPr>
        <w:t>)</w:t>
      </w:r>
      <w:r w:rsidRPr="002B3F5D">
        <w:rPr>
          <w:rFonts w:ascii="Times New Roman" w:hAnsi="Times New Roman"/>
          <w:sz w:val="22"/>
          <w:szCs w:val="22"/>
        </w:rPr>
        <w:t xml:space="preserve">. </w:t>
      </w:r>
      <w:r>
        <w:rPr>
          <w:rFonts w:ascii="Times New Roman" w:hAnsi="Times New Roman"/>
          <w:sz w:val="22"/>
          <w:szCs w:val="22"/>
        </w:rPr>
        <w:t>Here,</w:t>
      </w:r>
      <w:r w:rsidRPr="002B3F5D">
        <w:rPr>
          <w:rFonts w:ascii="Times New Roman" w:hAnsi="Times New Roman"/>
          <w:sz w:val="22"/>
          <w:szCs w:val="22"/>
        </w:rPr>
        <w:t xml:space="preserve"> we used </w:t>
      </w:r>
      <w:r>
        <w:rPr>
          <w:rFonts w:ascii="Times New Roman" w:hAnsi="Times New Roman"/>
          <w:sz w:val="22"/>
          <w:szCs w:val="22"/>
        </w:rPr>
        <w:t xml:space="preserve">an </w:t>
      </w:r>
      <w:r w:rsidRPr="002B3F5D">
        <w:rPr>
          <w:rFonts w:ascii="Times New Roman" w:hAnsi="Times New Roman"/>
          <w:sz w:val="22"/>
          <w:szCs w:val="22"/>
        </w:rPr>
        <w:t xml:space="preserve">eRF3 antibody directed against human recombinant eRF3a, which recognizes human eRF3a and 3b, but hardly detects any mouse eRF3b, since we do not have eRF3b antibody. When 5xMyc-eRF3a and 5xMyc-eRF3b were expressed in HeLa cells in a similar condition to that used in Figure 2, 5xMyc-eRF3a detected by this antibody was estimated as about ten-fold compared to the amount of endogenous eRF3 (lower </w:t>
      </w:r>
      <w:r w:rsidR="00E05AD7">
        <w:rPr>
          <w:rFonts w:ascii="Times New Roman" w:hAnsi="Times New Roman" w:hint="eastAsia"/>
          <w:sz w:val="22"/>
          <w:szCs w:val="22"/>
        </w:rPr>
        <w:t>panel</w:t>
      </w:r>
      <w:r w:rsidRPr="002B3F5D">
        <w:rPr>
          <w:rFonts w:ascii="Times New Roman" w:hAnsi="Times New Roman"/>
          <w:sz w:val="22"/>
          <w:szCs w:val="22"/>
        </w:rPr>
        <w:t>; lane 7). As the expression levels of both 5xMyc-eRF3a and 5xMyc-eRF3b detected by an anti-</w:t>
      </w:r>
      <w:proofErr w:type="spellStart"/>
      <w:r w:rsidRPr="002B3F5D">
        <w:rPr>
          <w:rFonts w:ascii="Times New Roman" w:hAnsi="Times New Roman"/>
          <w:sz w:val="22"/>
          <w:szCs w:val="22"/>
        </w:rPr>
        <w:t>Myc</w:t>
      </w:r>
      <w:proofErr w:type="spellEnd"/>
      <w:r w:rsidRPr="002B3F5D">
        <w:rPr>
          <w:rFonts w:ascii="Times New Roman" w:hAnsi="Times New Roman"/>
          <w:sz w:val="22"/>
          <w:szCs w:val="22"/>
        </w:rPr>
        <w:t xml:space="preserve"> antibody are almost the same (upper </w:t>
      </w:r>
      <w:r w:rsidR="00E05AD7">
        <w:rPr>
          <w:rFonts w:ascii="Times New Roman" w:hAnsi="Times New Roman" w:hint="eastAsia"/>
          <w:sz w:val="22"/>
          <w:szCs w:val="22"/>
        </w:rPr>
        <w:t>panel</w:t>
      </w:r>
      <w:r w:rsidRPr="002B3F5D">
        <w:rPr>
          <w:rFonts w:ascii="Times New Roman" w:hAnsi="Times New Roman"/>
          <w:sz w:val="22"/>
          <w:szCs w:val="22"/>
        </w:rPr>
        <w:t>; lanes 6 and 7), we conclude that the 5xMyc-eRF3b is expressed about ten-fold compared to endogenous eRF3.</w:t>
      </w:r>
    </w:p>
    <w:p w:rsidR="0035149F" w:rsidRDefault="0035149F" w:rsidP="0035149F">
      <w:pPr>
        <w:spacing w:line="480" w:lineRule="auto"/>
        <w:rPr>
          <w:rFonts w:ascii="Times New Roman" w:hAnsi="Times New Roman"/>
          <w:sz w:val="22"/>
          <w:szCs w:val="22"/>
        </w:rPr>
      </w:pPr>
    </w:p>
    <w:p w:rsidR="0035149F" w:rsidRPr="00F13C44" w:rsidRDefault="0035149F" w:rsidP="0035149F">
      <w:pPr>
        <w:spacing w:line="480" w:lineRule="auto"/>
        <w:rPr>
          <w:rFonts w:ascii="Times New Roman" w:hAnsi="Times New Roman"/>
          <w:b/>
          <w:sz w:val="22"/>
          <w:szCs w:val="22"/>
        </w:rPr>
      </w:pPr>
      <w:r w:rsidRPr="00F13C44">
        <w:rPr>
          <w:rFonts w:ascii="Times New Roman" w:hAnsi="Times New Roman"/>
          <w:b/>
          <w:sz w:val="22"/>
          <w:szCs w:val="22"/>
        </w:rPr>
        <w:t>Translational read through analysis</w:t>
      </w:r>
    </w:p>
    <w:p w:rsidR="0035149F" w:rsidRPr="00CC1305" w:rsidRDefault="0035149F" w:rsidP="0035149F">
      <w:pPr>
        <w:spacing w:line="480" w:lineRule="auto"/>
        <w:ind w:firstLine="840"/>
        <w:rPr>
          <w:rFonts w:ascii="Times New Roman" w:hAnsi="Times New Roman"/>
          <w:sz w:val="22"/>
          <w:szCs w:val="22"/>
        </w:rPr>
      </w:pPr>
      <w:r w:rsidRPr="00CC1305">
        <w:rPr>
          <w:rFonts w:ascii="Times New Roman" w:hAnsi="Times New Roman"/>
          <w:sz w:val="22"/>
          <w:szCs w:val="22"/>
        </w:rPr>
        <w:t xml:space="preserve">In order to examine the effect of PAM2 mutations of eRF3 on translation termination, a </w:t>
      </w:r>
      <w:r w:rsidRPr="00CC1305">
        <w:rPr>
          <w:rFonts w:ascii="Times New Roman" w:hAnsi="Times New Roman"/>
          <w:sz w:val="22"/>
          <w:szCs w:val="22"/>
        </w:rPr>
        <w:lastRenderedPageBreak/>
        <w:t>translational read-through analysis</w:t>
      </w:r>
      <w:r>
        <w:rPr>
          <w:rFonts w:ascii="Times New Roman" w:hAnsi="Times New Roman"/>
          <w:sz w:val="22"/>
          <w:szCs w:val="22"/>
        </w:rPr>
        <w:t xml:space="preserve"> was performed</w:t>
      </w:r>
      <w:r w:rsidRPr="00CC1305">
        <w:rPr>
          <w:rFonts w:ascii="Times New Roman" w:hAnsi="Times New Roman"/>
          <w:sz w:val="22"/>
          <w:szCs w:val="22"/>
        </w:rPr>
        <w:t>. In this experiment, we have constructed a fusion gene coding for GST-</w:t>
      </w:r>
      <w:proofErr w:type="spellStart"/>
      <w:r w:rsidRPr="00CC1305">
        <w:rPr>
          <w:rFonts w:ascii="Times New Roman" w:hAnsi="Times New Roman"/>
          <w:sz w:val="22"/>
          <w:szCs w:val="22"/>
        </w:rPr>
        <w:t>lusiferase</w:t>
      </w:r>
      <w:proofErr w:type="spellEnd"/>
      <w:r w:rsidRPr="00CC1305">
        <w:rPr>
          <w:rFonts w:ascii="Times New Roman" w:hAnsi="Times New Roman"/>
          <w:sz w:val="22"/>
          <w:szCs w:val="22"/>
        </w:rPr>
        <w:t xml:space="preserve"> which harbors an in-frame nonsense codon (UGA, UAA, or UAG) between GST and luciferase. In this case, the GST-luciferase protein is expressed, when the efficiency of translation termination is compromised and read-through occurs at the in-frame nonsense codon. </w:t>
      </w:r>
    </w:p>
    <w:p w:rsidR="0035149F" w:rsidRPr="00CC1305" w:rsidRDefault="0035149F" w:rsidP="0035149F">
      <w:pPr>
        <w:spacing w:line="480" w:lineRule="auto"/>
        <w:ind w:firstLine="840"/>
        <w:rPr>
          <w:rFonts w:ascii="Times New Roman" w:hAnsi="Times New Roman"/>
          <w:sz w:val="22"/>
          <w:szCs w:val="22"/>
        </w:rPr>
      </w:pPr>
      <w:r w:rsidRPr="00CC1305">
        <w:rPr>
          <w:rFonts w:ascii="Times New Roman" w:hAnsi="Times New Roman"/>
          <w:sz w:val="22"/>
          <w:szCs w:val="22"/>
        </w:rPr>
        <w:t>HeLa cells were co-transfected with the GST-luciferase reporter and eRF3b mutant expression vector, and the read-through product (GST-luciferase protein) was detected by western blotting. As shown in Supplementary Figure 2, the read-through product from GST-</w:t>
      </w:r>
      <w:proofErr w:type="spellStart"/>
      <w:r w:rsidRPr="00CC1305">
        <w:rPr>
          <w:rFonts w:ascii="Times New Roman" w:hAnsi="Times New Roman"/>
          <w:sz w:val="22"/>
          <w:szCs w:val="22"/>
        </w:rPr>
        <w:t>luc</w:t>
      </w:r>
      <w:proofErr w:type="spellEnd"/>
      <w:r w:rsidRPr="00CC1305">
        <w:rPr>
          <w:rFonts w:ascii="Times New Roman" w:hAnsi="Times New Roman"/>
          <w:sz w:val="22"/>
          <w:szCs w:val="22"/>
        </w:rPr>
        <w:t xml:space="preserve"> (UGA) reporter was not affected by the presence of eRF3b mutants (compare lanes 8-12). Consistent with established termination efficiencies (higher at UAA and UAG than at UGA), significant amount of the read-through products were not detected for GST-</w:t>
      </w:r>
      <w:proofErr w:type="spellStart"/>
      <w:r w:rsidRPr="00CC1305">
        <w:rPr>
          <w:rFonts w:ascii="Times New Roman" w:hAnsi="Times New Roman"/>
          <w:sz w:val="22"/>
          <w:szCs w:val="22"/>
        </w:rPr>
        <w:t>luc</w:t>
      </w:r>
      <w:proofErr w:type="spellEnd"/>
      <w:r w:rsidRPr="00CC1305">
        <w:rPr>
          <w:rFonts w:ascii="Times New Roman" w:hAnsi="Times New Roman"/>
          <w:sz w:val="22"/>
          <w:szCs w:val="22"/>
        </w:rPr>
        <w:t xml:space="preserve"> (UAA) and GST-</w:t>
      </w:r>
      <w:proofErr w:type="spellStart"/>
      <w:r w:rsidRPr="00CC1305">
        <w:rPr>
          <w:rFonts w:ascii="Times New Roman" w:hAnsi="Times New Roman"/>
          <w:sz w:val="22"/>
          <w:szCs w:val="22"/>
        </w:rPr>
        <w:t>luc</w:t>
      </w:r>
      <w:proofErr w:type="spellEnd"/>
      <w:r w:rsidRPr="00CC1305">
        <w:rPr>
          <w:rFonts w:ascii="Times New Roman" w:hAnsi="Times New Roman"/>
          <w:sz w:val="22"/>
          <w:szCs w:val="22"/>
        </w:rPr>
        <w:t xml:space="preserve"> (UAG) even in the presence of eRF3b mutants. Thus we conclude that the observed effect of eRF3b mutants on the rate of deadenylation is not an indirect effect via effects on translation te</w:t>
      </w:r>
      <w:r>
        <w:rPr>
          <w:rFonts w:ascii="Times New Roman" w:hAnsi="Times New Roman"/>
          <w:sz w:val="22"/>
          <w:szCs w:val="22"/>
        </w:rPr>
        <w:t>r</w:t>
      </w:r>
      <w:r w:rsidRPr="00CC1305">
        <w:rPr>
          <w:rFonts w:ascii="Times New Roman" w:hAnsi="Times New Roman"/>
          <w:sz w:val="22"/>
          <w:szCs w:val="22"/>
        </w:rPr>
        <w:t>mination.</w:t>
      </w:r>
    </w:p>
    <w:p w:rsidR="0035149F" w:rsidRDefault="0035149F" w:rsidP="0035149F">
      <w:pPr>
        <w:spacing w:line="480" w:lineRule="auto"/>
        <w:rPr>
          <w:rFonts w:ascii="Times New Roman" w:hAnsi="Times New Roman"/>
          <w:b/>
          <w:sz w:val="22"/>
          <w:szCs w:val="22"/>
        </w:rPr>
      </w:pPr>
    </w:p>
    <w:p w:rsidR="0035149F" w:rsidRPr="002C6B56" w:rsidRDefault="0035149F" w:rsidP="0035149F">
      <w:pPr>
        <w:spacing w:line="480" w:lineRule="auto"/>
        <w:rPr>
          <w:rFonts w:ascii="Times New Roman" w:hAnsi="Times New Roman"/>
          <w:sz w:val="22"/>
          <w:szCs w:val="22"/>
        </w:rPr>
      </w:pPr>
    </w:p>
    <w:p w:rsidR="0035149F" w:rsidRDefault="0035149F" w:rsidP="0035149F">
      <w:pPr>
        <w:spacing w:line="480" w:lineRule="auto"/>
        <w:rPr>
          <w:rFonts w:ascii="Times New Roman" w:hAnsi="Times New Roman"/>
          <w:b/>
          <w:sz w:val="22"/>
          <w:szCs w:val="22"/>
        </w:rPr>
      </w:pPr>
      <w:proofErr w:type="gramStart"/>
      <w:r w:rsidRPr="00CC1305">
        <w:rPr>
          <w:rFonts w:ascii="Times New Roman" w:hAnsi="Times New Roman"/>
          <w:b/>
          <w:sz w:val="22"/>
          <w:szCs w:val="22"/>
        </w:rPr>
        <w:t>S</w:t>
      </w:r>
      <w:r>
        <w:rPr>
          <w:rFonts w:ascii="Times New Roman" w:hAnsi="Times New Roman"/>
          <w:b/>
          <w:sz w:val="22"/>
          <w:szCs w:val="22"/>
        </w:rPr>
        <w:t>UPPLEMENTARY FIGURE</w:t>
      </w:r>
      <w:r w:rsidRPr="00CC1305">
        <w:rPr>
          <w:rFonts w:ascii="Times New Roman" w:hAnsi="Times New Roman"/>
          <w:b/>
          <w:sz w:val="22"/>
          <w:szCs w:val="22"/>
        </w:rPr>
        <w:t xml:space="preserve"> 1.</w:t>
      </w:r>
      <w:proofErr w:type="gramEnd"/>
      <w:r w:rsidRPr="00CC1305">
        <w:rPr>
          <w:rFonts w:ascii="Times New Roman" w:hAnsi="Times New Roman"/>
          <w:b/>
          <w:sz w:val="22"/>
          <w:szCs w:val="22"/>
        </w:rPr>
        <w:t xml:space="preserve"> </w:t>
      </w:r>
      <w:r>
        <w:rPr>
          <w:rFonts w:ascii="Times New Roman" w:hAnsi="Times New Roman"/>
          <w:b/>
          <w:sz w:val="22"/>
          <w:szCs w:val="22"/>
        </w:rPr>
        <w:t xml:space="preserve"> </w:t>
      </w:r>
      <w:proofErr w:type="gramStart"/>
      <w:r>
        <w:rPr>
          <w:rFonts w:ascii="Times New Roman" w:hAnsi="Times New Roman"/>
          <w:b/>
          <w:sz w:val="22"/>
          <w:szCs w:val="22"/>
        </w:rPr>
        <w:t>The levels of the overexpressed eRF3 proteins.</w:t>
      </w:r>
      <w:proofErr w:type="gramEnd"/>
      <w:r>
        <w:rPr>
          <w:rFonts w:ascii="Times New Roman" w:hAnsi="Times New Roman"/>
          <w:b/>
          <w:sz w:val="22"/>
          <w:szCs w:val="22"/>
        </w:rPr>
        <w:t xml:space="preserve"> </w:t>
      </w:r>
    </w:p>
    <w:p w:rsidR="0035149F" w:rsidRPr="00CC1305" w:rsidRDefault="0035149F" w:rsidP="0035149F">
      <w:pPr>
        <w:spacing w:line="480" w:lineRule="auto"/>
        <w:rPr>
          <w:rFonts w:ascii="Times New Roman" w:hAnsi="Times New Roman"/>
          <w:sz w:val="22"/>
          <w:szCs w:val="22"/>
        </w:rPr>
      </w:pPr>
      <w:proofErr w:type="gramStart"/>
      <w:r>
        <w:rPr>
          <w:rFonts w:ascii="Times New Roman" w:hAnsi="Times New Roman"/>
          <w:b/>
          <w:sz w:val="22"/>
          <w:szCs w:val="22"/>
        </w:rPr>
        <w:t>A.</w:t>
      </w:r>
      <w:r w:rsidRPr="0055773F">
        <w:rPr>
          <w:rFonts w:ascii="Times New Roman" w:hAnsi="Times New Roman"/>
          <w:sz w:val="22"/>
          <w:szCs w:val="22"/>
        </w:rPr>
        <w:t xml:space="preserve"> </w:t>
      </w:r>
      <w:r w:rsidRPr="00CC1305">
        <w:rPr>
          <w:rFonts w:ascii="Times New Roman" w:hAnsi="Times New Roman"/>
          <w:sz w:val="22"/>
          <w:szCs w:val="22"/>
        </w:rPr>
        <w:t xml:space="preserve">Total cell lysates that were isolated from the cells at 0 h time point in </w:t>
      </w:r>
      <w:r>
        <w:rPr>
          <w:rFonts w:ascii="Times New Roman" w:hAnsi="Times New Roman"/>
          <w:sz w:val="22"/>
          <w:szCs w:val="22"/>
        </w:rPr>
        <w:t>Figure 2</w:t>
      </w:r>
      <w:r w:rsidRPr="00CC1305">
        <w:rPr>
          <w:rFonts w:ascii="Times New Roman" w:hAnsi="Times New Roman"/>
          <w:sz w:val="22"/>
          <w:szCs w:val="22"/>
        </w:rPr>
        <w:t xml:space="preserve"> A were analyzed by western blotting using anti-</w:t>
      </w:r>
      <w:proofErr w:type="spellStart"/>
      <w:r w:rsidRPr="00CC1305">
        <w:rPr>
          <w:rFonts w:ascii="Times New Roman" w:hAnsi="Times New Roman"/>
          <w:sz w:val="22"/>
          <w:szCs w:val="22"/>
        </w:rPr>
        <w:t>Myc</w:t>
      </w:r>
      <w:proofErr w:type="spellEnd"/>
      <w:r w:rsidRPr="00CC1305">
        <w:rPr>
          <w:rFonts w:ascii="Times New Roman" w:hAnsi="Times New Roman"/>
          <w:sz w:val="22"/>
          <w:szCs w:val="22"/>
        </w:rPr>
        <w:t xml:space="preserve"> (upper), anti-eRF3 (middle), or anti-GAPDH (lower).</w:t>
      </w:r>
      <w:proofErr w:type="gramEnd"/>
      <w:r w:rsidRPr="00CC1305">
        <w:rPr>
          <w:rFonts w:ascii="Times New Roman" w:hAnsi="Times New Roman"/>
          <w:sz w:val="22"/>
          <w:szCs w:val="22"/>
        </w:rPr>
        <w:t xml:space="preserve"> </w:t>
      </w:r>
    </w:p>
    <w:p w:rsidR="0035149F" w:rsidRPr="00CC1305" w:rsidRDefault="0035149F" w:rsidP="0035149F">
      <w:pPr>
        <w:spacing w:line="480" w:lineRule="auto"/>
        <w:rPr>
          <w:rFonts w:ascii="Times New Roman" w:hAnsi="Times New Roman"/>
          <w:sz w:val="22"/>
          <w:szCs w:val="22"/>
        </w:rPr>
      </w:pPr>
      <w:r>
        <w:rPr>
          <w:rFonts w:ascii="Times New Roman" w:hAnsi="Times New Roman"/>
          <w:sz w:val="22"/>
          <w:szCs w:val="22"/>
        </w:rPr>
        <w:t xml:space="preserve">B. </w:t>
      </w:r>
      <w:r w:rsidRPr="007F61E5">
        <w:rPr>
          <w:rFonts w:ascii="Times New Roman" w:hAnsi="Times New Roman"/>
          <w:sz w:val="22"/>
          <w:szCs w:val="22"/>
        </w:rPr>
        <w:t>The expression levels of eRF3.</w:t>
      </w:r>
      <w:r w:rsidRPr="00CC1305">
        <w:rPr>
          <w:rFonts w:ascii="Times New Roman" w:hAnsi="Times New Roman"/>
          <w:sz w:val="22"/>
          <w:szCs w:val="22"/>
        </w:rPr>
        <w:t xml:space="preserve"> HeLa cells were transfected with pCMV-5xMyc (lane 5), pCMV-5xMyc-eRF3b (lane 6), or pCMV-5xMyc-eRF3a (lane 7). Total cell lysates were analyzed by western blotting using anti-</w:t>
      </w:r>
      <w:proofErr w:type="spellStart"/>
      <w:r w:rsidRPr="00CC1305">
        <w:rPr>
          <w:rFonts w:ascii="Times New Roman" w:hAnsi="Times New Roman"/>
          <w:sz w:val="22"/>
          <w:szCs w:val="22"/>
        </w:rPr>
        <w:t>Myc</w:t>
      </w:r>
      <w:proofErr w:type="spellEnd"/>
      <w:r w:rsidRPr="00CC1305">
        <w:rPr>
          <w:rFonts w:ascii="Times New Roman" w:hAnsi="Times New Roman"/>
          <w:sz w:val="22"/>
          <w:szCs w:val="22"/>
        </w:rPr>
        <w:t xml:space="preserve"> (upper) or anti-eRF3 (lower). Lanes 1–4, which analyzed three-fold dilutions of protein, indicate that the analysis is semi-quantitative.  </w:t>
      </w:r>
    </w:p>
    <w:p w:rsidR="0035149F" w:rsidRPr="00CC1305" w:rsidRDefault="0035149F" w:rsidP="0035149F">
      <w:pPr>
        <w:spacing w:line="480" w:lineRule="auto"/>
        <w:rPr>
          <w:rFonts w:ascii="Times New Roman" w:hAnsi="Times New Roman"/>
          <w:sz w:val="22"/>
          <w:szCs w:val="22"/>
        </w:rPr>
      </w:pPr>
    </w:p>
    <w:p w:rsidR="0035149F" w:rsidRDefault="0035149F" w:rsidP="0035149F">
      <w:pPr>
        <w:spacing w:line="480" w:lineRule="auto"/>
        <w:rPr>
          <w:rFonts w:ascii="Times New Roman" w:hAnsi="Times New Roman"/>
          <w:sz w:val="22"/>
          <w:szCs w:val="22"/>
        </w:rPr>
      </w:pPr>
      <w:proofErr w:type="gramStart"/>
      <w:r w:rsidRPr="00CC1305">
        <w:rPr>
          <w:rFonts w:ascii="Times New Roman" w:hAnsi="Times New Roman"/>
          <w:b/>
          <w:sz w:val="22"/>
          <w:szCs w:val="22"/>
        </w:rPr>
        <w:lastRenderedPageBreak/>
        <w:t>S</w:t>
      </w:r>
      <w:r>
        <w:rPr>
          <w:rFonts w:ascii="Times New Roman" w:hAnsi="Times New Roman"/>
          <w:b/>
          <w:sz w:val="22"/>
          <w:szCs w:val="22"/>
        </w:rPr>
        <w:t>UPPLEMENTARY FIGURE</w:t>
      </w:r>
      <w:r w:rsidRPr="00CC1305">
        <w:rPr>
          <w:rFonts w:ascii="Times New Roman" w:hAnsi="Times New Roman"/>
          <w:b/>
          <w:sz w:val="22"/>
          <w:szCs w:val="22"/>
        </w:rPr>
        <w:t xml:space="preserve"> 2.</w:t>
      </w:r>
      <w:proofErr w:type="gramEnd"/>
      <w:r w:rsidRPr="00CC1305">
        <w:rPr>
          <w:rFonts w:ascii="Times New Roman" w:hAnsi="Times New Roman"/>
          <w:b/>
          <w:sz w:val="22"/>
          <w:szCs w:val="22"/>
        </w:rPr>
        <w:t xml:space="preserve"> </w:t>
      </w:r>
      <w:proofErr w:type="gramStart"/>
      <w:r w:rsidRPr="00C92D17">
        <w:rPr>
          <w:rFonts w:ascii="Times New Roman" w:hAnsi="Times New Roman"/>
          <w:b/>
          <w:sz w:val="22"/>
          <w:szCs w:val="22"/>
        </w:rPr>
        <w:t xml:space="preserve">Translational </w:t>
      </w:r>
      <w:proofErr w:type="spellStart"/>
      <w:r w:rsidRPr="00C92D17">
        <w:rPr>
          <w:rFonts w:ascii="Times New Roman" w:hAnsi="Times New Roman"/>
          <w:b/>
          <w:sz w:val="22"/>
          <w:szCs w:val="22"/>
        </w:rPr>
        <w:t>readthrough</w:t>
      </w:r>
      <w:proofErr w:type="spellEnd"/>
      <w:r w:rsidRPr="00C92D17">
        <w:rPr>
          <w:rFonts w:ascii="Times New Roman" w:hAnsi="Times New Roman"/>
          <w:b/>
          <w:sz w:val="22"/>
          <w:szCs w:val="22"/>
        </w:rPr>
        <w:t xml:space="preserve"> analysis.</w:t>
      </w:r>
      <w:proofErr w:type="gramEnd"/>
      <w:r w:rsidRPr="00CC1305">
        <w:rPr>
          <w:rFonts w:ascii="Times New Roman" w:hAnsi="Times New Roman"/>
          <w:sz w:val="22"/>
          <w:szCs w:val="22"/>
        </w:rPr>
        <w:t xml:space="preserve"> </w:t>
      </w:r>
    </w:p>
    <w:p w:rsidR="0035149F" w:rsidRPr="00CC1305" w:rsidRDefault="0035149F" w:rsidP="0035149F">
      <w:pPr>
        <w:spacing w:line="480" w:lineRule="auto"/>
        <w:rPr>
          <w:rFonts w:ascii="Times New Roman" w:hAnsi="Times New Roman"/>
          <w:sz w:val="22"/>
          <w:szCs w:val="22"/>
        </w:rPr>
      </w:pPr>
      <w:r w:rsidRPr="00CC1305">
        <w:rPr>
          <w:rFonts w:ascii="Times New Roman" w:hAnsi="Times New Roman"/>
          <w:sz w:val="22"/>
          <w:szCs w:val="22"/>
        </w:rPr>
        <w:t>HeLa cells were co-transfected with either pCMV-5xFlag-GST-luc2 (lanes 1–7), pCMV-5xFlag-GST-UGA-luc2 (lanes 8–12), pCMV-5xFlag-GST-UAA-luc2 (lanes 13–17), or pCMV-5xFlag-GST-UAG-luc2 (lanes 18–22) and either pCMV-5xMyc (lanes 1–8, 13, and 18), pCMV-5xMyc-eRF3b (F66A) (lanes 9, 14, and 19), pCMV-5xMyc-eRF3b (F75A) (lanes 10, 15, and 20), pCMV-5xMyc-eRF3b (F66A/F75A) (lanes 11, 16, and 21), or pCMV-5xMyc</w:t>
      </w:r>
      <w:r>
        <w:rPr>
          <w:rFonts w:ascii="Times New Roman" w:hAnsi="Times New Roman"/>
          <w:sz w:val="22"/>
          <w:szCs w:val="22"/>
        </w:rPr>
        <w:t xml:space="preserve">-eRF3b (lanes 12, 17, and 22). </w:t>
      </w:r>
      <w:r w:rsidRPr="00CC1305">
        <w:rPr>
          <w:rFonts w:ascii="Times New Roman" w:hAnsi="Times New Roman"/>
          <w:sz w:val="22"/>
          <w:szCs w:val="22"/>
        </w:rPr>
        <w:t>One day la</w:t>
      </w:r>
      <w:r>
        <w:rPr>
          <w:rFonts w:ascii="Times New Roman" w:hAnsi="Times New Roman"/>
          <w:sz w:val="22"/>
          <w:szCs w:val="22"/>
        </w:rPr>
        <w:t xml:space="preserve">ter, the cells were harvested. </w:t>
      </w:r>
      <w:r w:rsidRPr="00CC1305">
        <w:rPr>
          <w:rFonts w:ascii="Times New Roman" w:hAnsi="Times New Roman"/>
          <w:sz w:val="22"/>
          <w:szCs w:val="22"/>
        </w:rPr>
        <w:t>Total cellular protein was analyzed by western blot</w:t>
      </w:r>
      <w:r>
        <w:rPr>
          <w:rFonts w:ascii="Times New Roman" w:hAnsi="Times New Roman"/>
          <w:sz w:val="22"/>
          <w:szCs w:val="22"/>
        </w:rPr>
        <w:t xml:space="preserve">ting using anti-Flag antibody. </w:t>
      </w:r>
      <w:r w:rsidRPr="00CC1305">
        <w:rPr>
          <w:rFonts w:ascii="Times New Roman" w:hAnsi="Times New Roman"/>
          <w:sz w:val="22"/>
          <w:szCs w:val="22"/>
        </w:rPr>
        <w:t xml:space="preserve">Lanes 1–7, which analyzed three-fold dilutions of protein, indicate that the </w:t>
      </w:r>
      <w:r>
        <w:rPr>
          <w:rFonts w:ascii="Times New Roman" w:hAnsi="Times New Roman"/>
          <w:sz w:val="22"/>
          <w:szCs w:val="22"/>
        </w:rPr>
        <w:t xml:space="preserve">analysis is semi-quantitative. </w:t>
      </w:r>
      <w:r w:rsidRPr="00CC1305">
        <w:rPr>
          <w:rFonts w:ascii="Times New Roman" w:hAnsi="Times New Roman"/>
          <w:sz w:val="22"/>
          <w:szCs w:val="22"/>
        </w:rPr>
        <w:t>A relatively dark exposure was required for detection of 5xFlag-GST-luc2 prote</w:t>
      </w:r>
      <w:r>
        <w:rPr>
          <w:rFonts w:ascii="Times New Roman" w:hAnsi="Times New Roman"/>
          <w:sz w:val="22"/>
          <w:szCs w:val="22"/>
        </w:rPr>
        <w:t xml:space="preserve">ins (lower panel, lanes 8–12). </w:t>
      </w:r>
      <w:r w:rsidRPr="00CC1305">
        <w:rPr>
          <w:rFonts w:ascii="Times New Roman" w:hAnsi="Times New Roman"/>
          <w:sz w:val="22"/>
          <w:szCs w:val="22"/>
        </w:rPr>
        <w:t>Numbers immediately below each lane represent the level of 5xFlag-GST-luc2 protein normalized to the level of 5xFlag-GST protein. The asterisks indicate an uncharacterized protein that did not interfere with</w:t>
      </w:r>
      <w:r>
        <w:rPr>
          <w:rFonts w:ascii="Times New Roman" w:hAnsi="Times New Roman"/>
          <w:sz w:val="22"/>
          <w:szCs w:val="22"/>
        </w:rPr>
        <w:t xml:space="preserve"> experimental interpretations. </w:t>
      </w:r>
      <w:r w:rsidRPr="00CC1305">
        <w:rPr>
          <w:rFonts w:ascii="Times New Roman" w:hAnsi="Times New Roman"/>
          <w:sz w:val="22"/>
          <w:szCs w:val="22"/>
        </w:rPr>
        <w:t>N.D. indicates that the 5xFlag-GST-</w:t>
      </w:r>
      <w:r>
        <w:rPr>
          <w:rFonts w:ascii="Times New Roman" w:hAnsi="Times New Roman"/>
          <w:sz w:val="22"/>
          <w:szCs w:val="22"/>
        </w:rPr>
        <w:t xml:space="preserve">luc2 protein was not detected. </w:t>
      </w:r>
      <w:r w:rsidRPr="00CC1305">
        <w:rPr>
          <w:rFonts w:ascii="Times New Roman" w:hAnsi="Times New Roman"/>
          <w:sz w:val="22"/>
          <w:szCs w:val="22"/>
        </w:rPr>
        <w:t>Results are representative of three indepen</w:t>
      </w:r>
      <w:r>
        <w:rPr>
          <w:rFonts w:ascii="Times New Roman" w:hAnsi="Times New Roman"/>
          <w:sz w:val="22"/>
          <w:szCs w:val="22"/>
        </w:rPr>
        <w:t>dently performed experiments.</w:t>
      </w:r>
    </w:p>
    <w:p w:rsidR="0035149F" w:rsidRPr="00CC1305" w:rsidRDefault="0035149F" w:rsidP="0035149F">
      <w:pPr>
        <w:spacing w:line="480" w:lineRule="auto"/>
        <w:rPr>
          <w:sz w:val="22"/>
          <w:szCs w:val="22"/>
        </w:rPr>
      </w:pPr>
    </w:p>
    <w:p w:rsidR="0009674D" w:rsidRPr="0035149F" w:rsidRDefault="0009674D" w:rsidP="0035149F"/>
    <w:sectPr w:rsidR="0009674D" w:rsidRPr="0035149F" w:rsidSect="005F5EE4">
      <w:footerReference w:type="even" r:id="rId7"/>
      <w:footerReference w:type="default" r:id="rId8"/>
      <w:pgSz w:w="12240" w:h="15840" w:code="1"/>
      <w:pgMar w:top="1440" w:right="1440" w:bottom="1440" w:left="1440" w:header="851" w:footer="992" w:gutter="0"/>
      <w:cols w:space="425"/>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A4D" w:rsidRDefault="00D94A4D" w:rsidP="00DE4A3D">
      <w:r>
        <w:separator/>
      </w:r>
    </w:p>
  </w:endnote>
  <w:endnote w:type="continuationSeparator" w:id="0">
    <w:p w:rsidR="00D94A4D" w:rsidRDefault="00D94A4D" w:rsidP="00DE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MS PMincho">
    <w:altName w:val="ＭＳ Ｐ明朝"/>
    <w:panose1 w:val="02020600040205080304"/>
    <w:charset w:val="80"/>
    <w:family w:val="roman"/>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26" w:rsidRDefault="00564787" w:rsidP="00322B24">
    <w:pPr>
      <w:pStyle w:val="Footer"/>
      <w:framePr w:wrap="around" w:vAnchor="text" w:hAnchor="margin" w:xAlign="right" w:y="1"/>
      <w:rPr>
        <w:rStyle w:val="PageNumber"/>
      </w:rPr>
    </w:pPr>
    <w:r>
      <w:rPr>
        <w:rStyle w:val="PageNumber"/>
      </w:rPr>
      <w:fldChar w:fldCharType="begin"/>
    </w:r>
    <w:r w:rsidR="0035149F">
      <w:rPr>
        <w:rStyle w:val="PageNumber"/>
      </w:rPr>
      <w:instrText xml:space="preserve">PAGE  </w:instrText>
    </w:r>
    <w:r>
      <w:rPr>
        <w:rStyle w:val="PageNumber"/>
      </w:rPr>
      <w:fldChar w:fldCharType="end"/>
    </w:r>
  </w:p>
  <w:p w:rsidR="00752A26" w:rsidRDefault="002957F4" w:rsidP="00E350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26" w:rsidRDefault="00564787">
    <w:pPr>
      <w:pStyle w:val="Footer"/>
      <w:jc w:val="right"/>
    </w:pPr>
    <w:r>
      <w:fldChar w:fldCharType="begin"/>
    </w:r>
    <w:r w:rsidR="0035149F">
      <w:instrText xml:space="preserve"> PAGE   \* MERGEFORMAT </w:instrText>
    </w:r>
    <w:r>
      <w:fldChar w:fldCharType="separate"/>
    </w:r>
    <w:r w:rsidR="002957F4" w:rsidRPr="002957F4">
      <w:rPr>
        <w:noProof/>
        <w:lang w:val="ja-JP"/>
      </w:rPr>
      <w:t>1</w:t>
    </w:r>
    <w:r>
      <w:fldChar w:fldCharType="end"/>
    </w:r>
  </w:p>
  <w:p w:rsidR="00752A26" w:rsidRDefault="002957F4" w:rsidP="00E350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A4D" w:rsidRDefault="00D94A4D" w:rsidP="00DE4A3D">
      <w:r>
        <w:separator/>
      </w:r>
    </w:p>
  </w:footnote>
  <w:footnote w:type="continuationSeparator" w:id="0">
    <w:p w:rsidR="00D94A4D" w:rsidRDefault="00D94A4D" w:rsidP="00DE4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EE4"/>
    <w:rsid w:val="0009674D"/>
    <w:rsid w:val="0010505C"/>
    <w:rsid w:val="002957F4"/>
    <w:rsid w:val="0035149F"/>
    <w:rsid w:val="005031BD"/>
    <w:rsid w:val="00564787"/>
    <w:rsid w:val="005F5EE4"/>
    <w:rsid w:val="00826038"/>
    <w:rsid w:val="009A1DE9"/>
    <w:rsid w:val="00D94A4D"/>
    <w:rsid w:val="00D95BD0"/>
    <w:rsid w:val="00DE4A3D"/>
    <w:rsid w:val="00E05AD7"/>
    <w:rsid w:val="00FC3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E4"/>
    <w:pPr>
      <w:widowControl w:val="0"/>
      <w:jc w:val="both"/>
    </w:pPr>
    <w:rPr>
      <w:rFonts w:ascii="Arial" w:eastAsia="MS PGothic"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本文・標準"/>
    <w:basedOn w:val="BodyText"/>
    <w:link w:val="BodyTextIndentChar"/>
    <w:uiPriority w:val="99"/>
    <w:rsid w:val="005F5EE4"/>
    <w:pPr>
      <w:spacing w:after="240" w:line="300" w:lineRule="auto"/>
      <w:ind w:firstLine="454"/>
    </w:pPr>
    <w:rPr>
      <w:rFonts w:eastAsia="MS PMincho"/>
      <w:szCs w:val="21"/>
    </w:rPr>
  </w:style>
  <w:style w:type="character" w:customStyle="1" w:styleId="BodyTextIndentChar">
    <w:name w:val="Body Text Indent Char"/>
    <w:aliases w:val="本文・標準 Char"/>
    <w:basedOn w:val="DefaultParagraphFont"/>
    <w:link w:val="BodyTextIndent"/>
    <w:uiPriority w:val="99"/>
    <w:rsid w:val="005F5EE4"/>
    <w:rPr>
      <w:rFonts w:ascii="Arial" w:eastAsia="MS PMincho" w:hAnsi="Arial" w:cs="Times New Roman"/>
      <w:szCs w:val="21"/>
    </w:rPr>
  </w:style>
  <w:style w:type="paragraph" w:styleId="Footer">
    <w:name w:val="footer"/>
    <w:basedOn w:val="Normal"/>
    <w:link w:val="FooterChar"/>
    <w:uiPriority w:val="99"/>
    <w:rsid w:val="005F5EE4"/>
    <w:pPr>
      <w:tabs>
        <w:tab w:val="center" w:pos="4252"/>
        <w:tab w:val="right" w:pos="8504"/>
      </w:tabs>
      <w:snapToGrid w:val="0"/>
    </w:pPr>
  </w:style>
  <w:style w:type="character" w:customStyle="1" w:styleId="FooterChar">
    <w:name w:val="Footer Char"/>
    <w:basedOn w:val="DefaultParagraphFont"/>
    <w:link w:val="Footer"/>
    <w:uiPriority w:val="99"/>
    <w:rsid w:val="005F5EE4"/>
    <w:rPr>
      <w:rFonts w:ascii="Arial" w:eastAsia="MS PGothic" w:hAnsi="Arial" w:cs="Times New Roman"/>
      <w:szCs w:val="24"/>
    </w:rPr>
  </w:style>
  <w:style w:type="character" w:styleId="PageNumber">
    <w:name w:val="page number"/>
    <w:basedOn w:val="DefaultParagraphFont"/>
    <w:uiPriority w:val="99"/>
    <w:rsid w:val="005F5EE4"/>
    <w:rPr>
      <w:rFonts w:cs="Times New Roman"/>
    </w:rPr>
  </w:style>
  <w:style w:type="paragraph" w:styleId="BodyText">
    <w:name w:val="Body Text"/>
    <w:basedOn w:val="Normal"/>
    <w:link w:val="BodyTextChar"/>
    <w:uiPriority w:val="99"/>
    <w:semiHidden/>
    <w:unhideWhenUsed/>
    <w:rsid w:val="005F5EE4"/>
  </w:style>
  <w:style w:type="character" w:customStyle="1" w:styleId="BodyTextChar">
    <w:name w:val="Body Text Char"/>
    <w:basedOn w:val="DefaultParagraphFont"/>
    <w:link w:val="BodyText"/>
    <w:uiPriority w:val="99"/>
    <w:semiHidden/>
    <w:rsid w:val="005F5EE4"/>
    <w:rPr>
      <w:rFonts w:ascii="Arial" w:eastAsia="MS PGothic" w:hAnsi="Arial" w:cs="Times New Roman"/>
      <w:szCs w:val="24"/>
    </w:rPr>
  </w:style>
  <w:style w:type="paragraph" w:styleId="Header">
    <w:name w:val="header"/>
    <w:basedOn w:val="Normal"/>
    <w:link w:val="HeaderChar"/>
    <w:uiPriority w:val="99"/>
    <w:semiHidden/>
    <w:unhideWhenUsed/>
    <w:rsid w:val="00E05AD7"/>
    <w:pPr>
      <w:tabs>
        <w:tab w:val="center" w:pos="4252"/>
        <w:tab w:val="right" w:pos="8504"/>
      </w:tabs>
      <w:snapToGrid w:val="0"/>
    </w:pPr>
  </w:style>
  <w:style w:type="character" w:customStyle="1" w:styleId="HeaderChar">
    <w:name w:val="Header Char"/>
    <w:basedOn w:val="DefaultParagraphFont"/>
    <w:link w:val="Header"/>
    <w:uiPriority w:val="99"/>
    <w:semiHidden/>
    <w:rsid w:val="00E05AD7"/>
    <w:rPr>
      <w:rFonts w:ascii="Arial" w:eastAsia="MS PGothic" w:hAnsi="Arial" w:cs="Times New Roman"/>
      <w:szCs w:val="24"/>
    </w:rPr>
  </w:style>
  <w:style w:type="paragraph" w:styleId="BalloonText">
    <w:name w:val="Balloon Text"/>
    <w:basedOn w:val="Normal"/>
    <w:link w:val="BalloonTextChar"/>
    <w:uiPriority w:val="99"/>
    <w:semiHidden/>
    <w:unhideWhenUsed/>
    <w:rsid w:val="005031B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031B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E4"/>
    <w:pPr>
      <w:widowControl w:val="0"/>
      <w:jc w:val="both"/>
    </w:pPr>
    <w:rPr>
      <w:rFonts w:ascii="Arial" w:eastAsia="MS PGothic"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本文・標準"/>
    <w:basedOn w:val="BodyText"/>
    <w:link w:val="BodyTextIndentChar"/>
    <w:uiPriority w:val="99"/>
    <w:rsid w:val="005F5EE4"/>
    <w:pPr>
      <w:spacing w:after="240" w:line="300" w:lineRule="auto"/>
      <w:ind w:firstLine="454"/>
    </w:pPr>
    <w:rPr>
      <w:rFonts w:eastAsia="MS PMincho"/>
      <w:szCs w:val="21"/>
    </w:rPr>
  </w:style>
  <w:style w:type="character" w:customStyle="1" w:styleId="BodyTextIndentChar">
    <w:name w:val="Body Text Indent Char"/>
    <w:aliases w:val="本文・標準 Char"/>
    <w:basedOn w:val="DefaultParagraphFont"/>
    <w:link w:val="BodyTextIndent"/>
    <w:uiPriority w:val="99"/>
    <w:rsid w:val="005F5EE4"/>
    <w:rPr>
      <w:rFonts w:ascii="Arial" w:eastAsia="MS PMincho" w:hAnsi="Arial" w:cs="Times New Roman"/>
      <w:szCs w:val="21"/>
    </w:rPr>
  </w:style>
  <w:style w:type="paragraph" w:styleId="Footer">
    <w:name w:val="footer"/>
    <w:basedOn w:val="Normal"/>
    <w:link w:val="FooterChar"/>
    <w:uiPriority w:val="99"/>
    <w:rsid w:val="005F5EE4"/>
    <w:pPr>
      <w:tabs>
        <w:tab w:val="center" w:pos="4252"/>
        <w:tab w:val="right" w:pos="8504"/>
      </w:tabs>
      <w:snapToGrid w:val="0"/>
    </w:pPr>
  </w:style>
  <w:style w:type="character" w:customStyle="1" w:styleId="FooterChar">
    <w:name w:val="Footer Char"/>
    <w:basedOn w:val="DefaultParagraphFont"/>
    <w:link w:val="Footer"/>
    <w:uiPriority w:val="99"/>
    <w:rsid w:val="005F5EE4"/>
    <w:rPr>
      <w:rFonts w:ascii="Arial" w:eastAsia="MS PGothic" w:hAnsi="Arial" w:cs="Times New Roman"/>
      <w:szCs w:val="24"/>
    </w:rPr>
  </w:style>
  <w:style w:type="character" w:styleId="PageNumber">
    <w:name w:val="page number"/>
    <w:basedOn w:val="DefaultParagraphFont"/>
    <w:uiPriority w:val="99"/>
    <w:rsid w:val="005F5EE4"/>
    <w:rPr>
      <w:rFonts w:cs="Times New Roman"/>
    </w:rPr>
  </w:style>
  <w:style w:type="paragraph" w:styleId="BodyText">
    <w:name w:val="Body Text"/>
    <w:basedOn w:val="Normal"/>
    <w:link w:val="BodyTextChar"/>
    <w:uiPriority w:val="99"/>
    <w:semiHidden/>
    <w:unhideWhenUsed/>
    <w:rsid w:val="005F5EE4"/>
  </w:style>
  <w:style w:type="character" w:customStyle="1" w:styleId="BodyTextChar">
    <w:name w:val="Body Text Char"/>
    <w:basedOn w:val="DefaultParagraphFont"/>
    <w:link w:val="BodyText"/>
    <w:uiPriority w:val="99"/>
    <w:semiHidden/>
    <w:rsid w:val="005F5EE4"/>
    <w:rPr>
      <w:rFonts w:ascii="Arial" w:eastAsia="MS PGothic" w:hAnsi="Arial" w:cs="Times New Roman"/>
      <w:szCs w:val="24"/>
    </w:rPr>
  </w:style>
  <w:style w:type="paragraph" w:styleId="Header">
    <w:name w:val="header"/>
    <w:basedOn w:val="Normal"/>
    <w:link w:val="HeaderChar"/>
    <w:uiPriority w:val="99"/>
    <w:semiHidden/>
    <w:unhideWhenUsed/>
    <w:rsid w:val="00E05AD7"/>
    <w:pPr>
      <w:tabs>
        <w:tab w:val="center" w:pos="4252"/>
        <w:tab w:val="right" w:pos="8504"/>
      </w:tabs>
      <w:snapToGrid w:val="0"/>
    </w:pPr>
  </w:style>
  <w:style w:type="character" w:customStyle="1" w:styleId="HeaderChar">
    <w:name w:val="Header Char"/>
    <w:basedOn w:val="DefaultParagraphFont"/>
    <w:link w:val="Header"/>
    <w:uiPriority w:val="99"/>
    <w:semiHidden/>
    <w:rsid w:val="00E05AD7"/>
    <w:rPr>
      <w:rFonts w:ascii="Arial" w:eastAsia="MS PGothic" w:hAnsi="Arial" w:cs="Times New Roman"/>
      <w:szCs w:val="24"/>
    </w:rPr>
  </w:style>
  <w:style w:type="paragraph" w:styleId="BalloonText">
    <w:name w:val="Balloon Text"/>
    <w:basedOn w:val="Normal"/>
    <w:link w:val="BalloonTextChar"/>
    <w:uiPriority w:val="99"/>
    <w:semiHidden/>
    <w:unhideWhenUsed/>
    <w:rsid w:val="005031B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031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882</Words>
  <Characters>5034</Characters>
  <Application>Microsoft Office Word</Application>
  <DocSecurity>0</DocSecurity>
  <Lines>41</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Cold Spring Harbor Laboratory</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osawa</dc:creator>
  <cp:lastModifiedBy>Tara Kulesa</cp:lastModifiedBy>
  <cp:revision>2</cp:revision>
  <cp:lastPrinted>2012-08-01T10:34:00Z</cp:lastPrinted>
  <dcterms:created xsi:type="dcterms:W3CDTF">2012-08-24T13:48:00Z</dcterms:created>
  <dcterms:modified xsi:type="dcterms:W3CDTF">2012-08-24T13:48:00Z</dcterms:modified>
</cp:coreProperties>
</file>