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57" w:rsidRDefault="007C1757" w:rsidP="007C1757">
      <w:pPr>
        <w:spacing w:line="480" w:lineRule="auto"/>
        <w:jc w:val="both"/>
      </w:pPr>
      <w:r w:rsidRPr="00EB0552">
        <w:rPr>
          <w:b/>
        </w:rPr>
        <w:t>Figure S1</w:t>
      </w:r>
      <w:r>
        <w:t xml:space="preserve">. Representative in-line probing gel image of VCIIIs. NR, T1, and OH represent no reaction, partial digestion with </w:t>
      </w:r>
      <w:proofErr w:type="spellStart"/>
      <w:r>
        <w:t>RNase</w:t>
      </w:r>
      <w:proofErr w:type="spellEnd"/>
      <w:r>
        <w:t xml:space="preserve"> T1, and partial digestion with alkali, respectively. </w:t>
      </w:r>
      <w:proofErr w:type="gramStart"/>
      <w:r>
        <w:t>r2</w:t>
      </w:r>
      <w:proofErr w:type="gramEnd"/>
      <w:r>
        <w:t>-r7 indicate regions defined in Table 2.</w:t>
      </w:r>
    </w:p>
    <w:p w:rsidR="007C1757" w:rsidRDefault="007C1757" w:rsidP="007C1757">
      <w:pPr>
        <w:spacing w:line="480" w:lineRule="auto"/>
        <w:jc w:val="both"/>
      </w:pPr>
      <w:r w:rsidRPr="00EB0552">
        <w:rPr>
          <w:b/>
        </w:rPr>
        <w:t>Figure S2</w:t>
      </w:r>
      <w:r>
        <w:t xml:space="preserve">. Alignment of leader-linker P0 helix connected to P1 helix with simple internal loops in 22 of 55 tandem glycine </w:t>
      </w:r>
      <w:proofErr w:type="spellStart"/>
      <w:r>
        <w:t>riboswitch</w:t>
      </w:r>
      <w:proofErr w:type="spellEnd"/>
      <w:r>
        <w:t xml:space="preserve"> sequences reported by Breaker and coworkers (</w:t>
      </w:r>
      <w:proofErr w:type="spellStart"/>
      <w:r>
        <w:t>Mandal</w:t>
      </w:r>
      <w:proofErr w:type="spellEnd"/>
      <w:r>
        <w:t xml:space="preserve"> et al. 2004). Abbreviations of the names of the organisms are taken from the same article. Green, yellow, purple, and grey regions indicate P0 helix, internal loop, P1 helix of </w:t>
      </w:r>
      <w:proofErr w:type="spellStart"/>
      <w:r>
        <w:t>aptamer</w:t>
      </w:r>
      <w:proofErr w:type="spellEnd"/>
      <w:r>
        <w:t xml:space="preserve"> I, and P1 helix of </w:t>
      </w:r>
      <w:proofErr w:type="spellStart"/>
      <w:r>
        <w:t>aptamer</w:t>
      </w:r>
      <w:proofErr w:type="spellEnd"/>
      <w:r>
        <w:t xml:space="preserve"> II, respectively.</w:t>
      </w:r>
    </w:p>
    <w:p w:rsidR="007C1757" w:rsidRDefault="007C1757" w:rsidP="007C1757">
      <w:pPr>
        <w:spacing w:line="480" w:lineRule="auto"/>
        <w:jc w:val="both"/>
      </w:pPr>
      <w:r w:rsidRPr="001F2BBA">
        <w:rPr>
          <w:b/>
        </w:rPr>
        <w:t>Figure S3</w:t>
      </w:r>
      <w:r>
        <w:t>. (</w:t>
      </w:r>
      <w:r w:rsidRPr="00703DD6">
        <w:rPr>
          <w:i/>
        </w:rPr>
        <w:t>A</w:t>
      </w:r>
      <w:r>
        <w:t xml:space="preserve">) </w:t>
      </w:r>
      <w:proofErr w:type="gramStart"/>
      <w:r>
        <w:t>and</w:t>
      </w:r>
      <w:proofErr w:type="gramEnd"/>
      <w:r>
        <w:t xml:space="preserve"> (</w:t>
      </w:r>
      <w:r w:rsidRPr="00703DD6">
        <w:rPr>
          <w:i/>
        </w:rPr>
        <w:t>B</w:t>
      </w:r>
      <w:r>
        <w:t xml:space="preserve">) show the in-line probing gel images of VCLD and VCIII, respectively.  T1 and OH represent partial digestion with </w:t>
      </w:r>
      <w:proofErr w:type="spellStart"/>
      <w:r>
        <w:t>RNase</w:t>
      </w:r>
      <w:proofErr w:type="spellEnd"/>
      <w:r>
        <w:t xml:space="preserve"> T1 and partial digestion with alkali, respectively. </w:t>
      </w:r>
      <w:proofErr w:type="gramStart"/>
      <w:r>
        <w:t>r2</w:t>
      </w:r>
      <w:proofErr w:type="gramEnd"/>
      <w:r>
        <w:t>-r7 indicate regions defined in Table 2.</w:t>
      </w:r>
    </w:p>
    <w:p w:rsidR="007C1757" w:rsidRDefault="007C1757" w:rsidP="007C1757">
      <w:pPr>
        <w:spacing w:line="480" w:lineRule="auto"/>
        <w:jc w:val="both"/>
      </w:pPr>
      <w:r w:rsidRPr="001F2BBA">
        <w:rPr>
          <w:b/>
        </w:rPr>
        <w:t>Figure S</w:t>
      </w:r>
      <w:r>
        <w:rPr>
          <w:b/>
        </w:rPr>
        <w:t>4</w:t>
      </w:r>
      <w:r>
        <w:t>. (</w:t>
      </w:r>
      <w:r w:rsidRPr="00703DD6">
        <w:rPr>
          <w:i/>
        </w:rPr>
        <w:t>A</w:t>
      </w:r>
      <w:r>
        <w:t xml:space="preserve">) </w:t>
      </w:r>
      <w:proofErr w:type="gramStart"/>
      <w:r>
        <w:t>and</w:t>
      </w:r>
      <w:proofErr w:type="gramEnd"/>
      <w:r>
        <w:t xml:space="preserve"> (</w:t>
      </w:r>
      <w:r w:rsidRPr="00703DD6">
        <w:rPr>
          <w:i/>
        </w:rPr>
        <w:t>B</w:t>
      </w:r>
      <w:r>
        <w:t xml:space="preserve">) show the in-line probing gel images of FNLD and FNIII, respectively.  NR represents no reaction. </w:t>
      </w:r>
      <w:proofErr w:type="gramStart"/>
      <w:r>
        <w:t>r2</w:t>
      </w:r>
      <w:proofErr w:type="gramEnd"/>
      <w:r>
        <w:t>-r7 indicate regions defined in Table 2.</w:t>
      </w:r>
    </w:p>
    <w:p w:rsidR="007C1757" w:rsidRDefault="007C1757" w:rsidP="007C1757">
      <w:pPr>
        <w:spacing w:line="480" w:lineRule="auto"/>
        <w:jc w:val="both"/>
      </w:pPr>
      <w:r w:rsidRPr="001F2BBA">
        <w:rPr>
          <w:b/>
        </w:rPr>
        <w:t>Figure S</w:t>
      </w:r>
      <w:r>
        <w:rPr>
          <w:b/>
        </w:rPr>
        <w:t>5</w:t>
      </w:r>
      <w:r>
        <w:t>. (</w:t>
      </w:r>
      <w:r w:rsidRPr="00703DD6">
        <w:rPr>
          <w:i/>
        </w:rPr>
        <w:t>A</w:t>
      </w:r>
      <w:r>
        <w:t xml:space="preserve">) </w:t>
      </w:r>
      <w:proofErr w:type="gramStart"/>
      <w:r>
        <w:t>and</w:t>
      </w:r>
      <w:proofErr w:type="gramEnd"/>
      <w:r>
        <w:t xml:space="preserve"> (</w:t>
      </w:r>
      <w:r w:rsidRPr="00703DD6">
        <w:rPr>
          <w:i/>
        </w:rPr>
        <w:t>B</w:t>
      </w:r>
      <w:r>
        <w:t xml:space="preserve">) show the in-line probing gel images of BSLD and BSIII, respectively.  NR, T1, and OH represent no reaction, partial digestion with </w:t>
      </w:r>
      <w:proofErr w:type="spellStart"/>
      <w:r>
        <w:t>RNase</w:t>
      </w:r>
      <w:proofErr w:type="spellEnd"/>
      <w:r>
        <w:t xml:space="preserve"> T1, and partial digestion with alkali, respectively. </w:t>
      </w:r>
      <w:proofErr w:type="gramStart"/>
      <w:r>
        <w:t>r2</w:t>
      </w:r>
      <w:proofErr w:type="gramEnd"/>
      <w:r>
        <w:t>-r7 indicate regions defined in Table 2.</w:t>
      </w:r>
    </w:p>
    <w:p w:rsidR="007C1757" w:rsidRDefault="007C1757" w:rsidP="007C1757">
      <w:pPr>
        <w:spacing w:line="480" w:lineRule="auto"/>
        <w:jc w:val="both"/>
      </w:pPr>
      <w:r w:rsidRPr="00B45F38">
        <w:rPr>
          <w:b/>
        </w:rPr>
        <w:t>Figure S6</w:t>
      </w:r>
      <w:r>
        <w:t>. (</w:t>
      </w:r>
      <w:r w:rsidRPr="00703DD6">
        <w:rPr>
          <w:i/>
        </w:rPr>
        <w:t>A</w:t>
      </w:r>
      <w:r>
        <w:t xml:space="preserve">) </w:t>
      </w:r>
      <w:proofErr w:type="gramStart"/>
      <w:r>
        <w:t>and</w:t>
      </w:r>
      <w:proofErr w:type="gramEnd"/>
      <w:r>
        <w:t xml:space="preserve"> (</w:t>
      </w:r>
      <w:r w:rsidRPr="00703DD6">
        <w:rPr>
          <w:i/>
        </w:rPr>
        <w:t>B</w:t>
      </w:r>
      <w:r>
        <w:t xml:space="preserve">) show the hydroxyl radical </w:t>
      </w:r>
      <w:proofErr w:type="spellStart"/>
      <w:r>
        <w:t>footprinting</w:t>
      </w:r>
      <w:proofErr w:type="spellEnd"/>
      <w:r>
        <w:t xml:space="preserve"> gel images of VCIII and VCLD, respectively.  NR, T1, and OH represent no reaction, partial digestion with </w:t>
      </w:r>
      <w:proofErr w:type="spellStart"/>
      <w:r>
        <w:t>RNase</w:t>
      </w:r>
      <w:proofErr w:type="spellEnd"/>
      <w:r>
        <w:t xml:space="preserve"> T1, and partial digestion with alkali, respectively. *</w:t>
      </w:r>
      <w:proofErr w:type="gramStart"/>
      <w:r>
        <w:t>a</w:t>
      </w:r>
      <w:proofErr w:type="gramEnd"/>
      <w:r>
        <w:t xml:space="preserve"> (</w:t>
      </w:r>
      <w:proofErr w:type="spellStart"/>
      <w:r>
        <w:t>nts</w:t>
      </w:r>
      <w:proofErr w:type="spellEnd"/>
      <w:r>
        <w:t xml:space="preserve"> 200-202), *b (</w:t>
      </w:r>
      <w:proofErr w:type="spellStart"/>
      <w:r>
        <w:t>nts</w:t>
      </w:r>
      <w:proofErr w:type="spellEnd"/>
      <w:r>
        <w:t xml:space="preserve"> 170-172), *c (around </w:t>
      </w:r>
      <w:proofErr w:type="spellStart"/>
      <w:r>
        <w:t>nt</w:t>
      </w:r>
      <w:proofErr w:type="spellEnd"/>
      <w:r>
        <w:t xml:space="preserve"> 146), *d (around </w:t>
      </w:r>
      <w:proofErr w:type="spellStart"/>
      <w:r>
        <w:t>nt</w:t>
      </w:r>
      <w:proofErr w:type="spellEnd"/>
      <w:r>
        <w:t xml:space="preserve"> 123) and *e (around </w:t>
      </w:r>
      <w:proofErr w:type="spellStart"/>
      <w:r>
        <w:t>nt</w:t>
      </w:r>
      <w:proofErr w:type="spellEnd"/>
      <w:r>
        <w:t xml:space="preserve"> 82), as indicated in Figure 1, represent the glycine-induced protections in VCIII, which correlate well with previous reports (</w:t>
      </w:r>
      <w:proofErr w:type="spellStart"/>
      <w:r>
        <w:t>Lipfert</w:t>
      </w:r>
      <w:proofErr w:type="spellEnd"/>
      <w:r>
        <w:t xml:space="preserve"> et al. J. Mol. Biol. 2007, 365, 1393; </w:t>
      </w:r>
      <w:proofErr w:type="spellStart"/>
      <w:r>
        <w:t>Erion</w:t>
      </w:r>
      <w:proofErr w:type="spellEnd"/>
      <w:r>
        <w:t xml:space="preserve"> and </w:t>
      </w:r>
      <w:proofErr w:type="spellStart"/>
      <w:r>
        <w:t>Strobel</w:t>
      </w:r>
      <w:proofErr w:type="spellEnd"/>
      <w:r>
        <w:t xml:space="preserve"> RNA 2011, 17, 74).</w:t>
      </w:r>
    </w:p>
    <w:p w:rsidR="007C1757" w:rsidRDefault="007C1757" w:rsidP="007C1757">
      <w:pPr>
        <w:spacing w:line="480" w:lineRule="auto"/>
      </w:pPr>
      <w:r w:rsidRPr="001F7FE2">
        <w:rPr>
          <w:b/>
        </w:rPr>
        <w:lastRenderedPageBreak/>
        <w:t>Figure S7</w:t>
      </w:r>
      <w:r>
        <w:t>. (</w:t>
      </w:r>
      <w:r w:rsidRPr="00703DD6">
        <w:rPr>
          <w:i/>
        </w:rPr>
        <w:t>A</w:t>
      </w:r>
      <w:r>
        <w:t xml:space="preserve">) </w:t>
      </w:r>
      <w:proofErr w:type="gramStart"/>
      <w:r>
        <w:t>and</w:t>
      </w:r>
      <w:proofErr w:type="gramEnd"/>
      <w:r>
        <w:t xml:space="preserve"> (</w:t>
      </w:r>
      <w:r w:rsidRPr="00703DD6">
        <w:rPr>
          <w:i/>
        </w:rPr>
        <w:t>B</w:t>
      </w:r>
      <w:r>
        <w:t xml:space="preserve">) show the hydroxyl radical </w:t>
      </w:r>
      <w:proofErr w:type="spellStart"/>
      <w:r>
        <w:t>footprinting</w:t>
      </w:r>
      <w:proofErr w:type="spellEnd"/>
      <w:r>
        <w:t xml:space="preserve"> gel images of FNIII and FNLD, respectively.  NR, T1, and OH represent no reaction, partial digestion with </w:t>
      </w:r>
      <w:proofErr w:type="spellStart"/>
      <w:r>
        <w:t>RNase</w:t>
      </w:r>
      <w:proofErr w:type="spellEnd"/>
      <w:r>
        <w:t xml:space="preserve"> T1, and partial digestion with alkali, respectively. *</w:t>
      </w:r>
      <w:proofErr w:type="gramStart"/>
      <w:r>
        <w:t>a</w:t>
      </w:r>
      <w:proofErr w:type="gramEnd"/>
      <w:r>
        <w:t xml:space="preserve"> (</w:t>
      </w:r>
      <w:proofErr w:type="spellStart"/>
      <w:r>
        <w:t>nts</w:t>
      </w:r>
      <w:proofErr w:type="spellEnd"/>
      <w:r>
        <w:t xml:space="preserve"> 134-136), *b (</w:t>
      </w:r>
      <w:proofErr w:type="spellStart"/>
      <w:r>
        <w:t>nts</w:t>
      </w:r>
      <w:proofErr w:type="spellEnd"/>
      <w:r>
        <w:t xml:space="preserve"> 117-119), *c (</w:t>
      </w:r>
      <w:proofErr w:type="spellStart"/>
      <w:r>
        <w:t>nts</w:t>
      </w:r>
      <w:proofErr w:type="spellEnd"/>
      <w:r>
        <w:t xml:space="preserve"> 110-112), *d (</w:t>
      </w:r>
      <w:proofErr w:type="spellStart"/>
      <w:r>
        <w:t>nts</w:t>
      </w:r>
      <w:proofErr w:type="spellEnd"/>
      <w:r>
        <w:t xml:space="preserve"> 85-86), and *e (</w:t>
      </w:r>
      <w:proofErr w:type="spellStart"/>
      <w:r>
        <w:t>nts</w:t>
      </w:r>
      <w:proofErr w:type="spellEnd"/>
      <w:r>
        <w:t xml:space="preserve"> 63-67) represent the glycine-induced protections in FNIII.</w:t>
      </w:r>
    </w:p>
    <w:p w:rsidR="007C1757" w:rsidRDefault="007C1757" w:rsidP="007C1757">
      <w:pPr>
        <w:spacing w:line="480" w:lineRule="auto"/>
        <w:jc w:val="both"/>
      </w:pPr>
      <w:r w:rsidRPr="00E30BAF">
        <w:rPr>
          <w:b/>
        </w:rPr>
        <w:t>Figure S8</w:t>
      </w:r>
      <w:r>
        <w:t>. (</w:t>
      </w:r>
      <w:r w:rsidRPr="00703DD6">
        <w:rPr>
          <w:i/>
        </w:rPr>
        <w:t>A</w:t>
      </w:r>
      <w:r>
        <w:t xml:space="preserve">) </w:t>
      </w:r>
      <w:proofErr w:type="gramStart"/>
      <w:r>
        <w:t>and</w:t>
      </w:r>
      <w:proofErr w:type="gramEnd"/>
      <w:r>
        <w:t xml:space="preserve"> (</w:t>
      </w:r>
      <w:r w:rsidRPr="00703DD6">
        <w:rPr>
          <w:i/>
        </w:rPr>
        <w:t>B</w:t>
      </w:r>
      <w:r>
        <w:t xml:space="preserve">) show the hydroxyl radical </w:t>
      </w:r>
      <w:proofErr w:type="spellStart"/>
      <w:r>
        <w:t>footprinting</w:t>
      </w:r>
      <w:proofErr w:type="spellEnd"/>
      <w:r>
        <w:t xml:space="preserve"> gel images of BSIII and BSLD, respectively.  NR and T1 represent no reaction and partial digestion with </w:t>
      </w:r>
      <w:proofErr w:type="spellStart"/>
      <w:r>
        <w:t>RNase</w:t>
      </w:r>
      <w:proofErr w:type="spellEnd"/>
      <w:r>
        <w:t xml:space="preserve"> T1, respectively. X represents the lane below a damaged well without sample loading. *</w:t>
      </w:r>
      <w:proofErr w:type="gramStart"/>
      <w:r>
        <w:t>a</w:t>
      </w:r>
      <w:proofErr w:type="gramEnd"/>
      <w:r>
        <w:t xml:space="preserve"> (around G121), *b (around G97), *c (around C88), and *d (around G60) represent the glycine-induced protections in BSIII.</w:t>
      </w:r>
    </w:p>
    <w:p w:rsidR="008420E3" w:rsidRDefault="007C1757" w:rsidP="007C1757">
      <w:r w:rsidRPr="00E74DA8">
        <w:rPr>
          <w:b/>
        </w:rPr>
        <w:t>Figure S9</w:t>
      </w:r>
      <w:r>
        <w:t xml:space="preserve">. Native gel assay of glycine </w:t>
      </w:r>
      <w:proofErr w:type="spellStart"/>
      <w:r>
        <w:t>riboswitch</w:t>
      </w:r>
      <w:proofErr w:type="spellEnd"/>
      <w:r>
        <w:t xml:space="preserve"> compaction on 6% non-denaturing PAGE in 5 </w:t>
      </w:r>
      <w:proofErr w:type="spellStart"/>
      <w:r>
        <w:t>mM</w:t>
      </w:r>
      <w:proofErr w:type="spellEnd"/>
      <w:r>
        <w:t xml:space="preserve"> MgCl</w:t>
      </w:r>
      <w:r w:rsidRPr="00E74DA8">
        <w:rPr>
          <w:vertAlign w:val="subscript"/>
        </w:rPr>
        <w:t>2</w:t>
      </w:r>
      <w:r>
        <w:t xml:space="preserve"> and 5 </w:t>
      </w:r>
      <w:proofErr w:type="spellStart"/>
      <w:r>
        <w:t>mM</w:t>
      </w:r>
      <w:proofErr w:type="spellEnd"/>
      <w:r>
        <w:t xml:space="preserve"> glycine (</w:t>
      </w:r>
      <w:r w:rsidRPr="00E74DA8">
        <w:rPr>
          <w:i/>
        </w:rPr>
        <w:t>A</w:t>
      </w:r>
      <w:r>
        <w:t xml:space="preserve">) and 5 </w:t>
      </w:r>
      <w:proofErr w:type="spellStart"/>
      <w:r>
        <w:t>mM</w:t>
      </w:r>
      <w:proofErr w:type="spellEnd"/>
      <w:r>
        <w:t xml:space="preserve"> MgCl</w:t>
      </w:r>
      <w:r w:rsidRPr="00E74DA8">
        <w:rPr>
          <w:vertAlign w:val="subscript"/>
        </w:rPr>
        <w:t>2</w:t>
      </w:r>
      <w:r>
        <w:t xml:space="preserve"> and no glycine (</w:t>
      </w:r>
      <w:r w:rsidRPr="00E74DA8">
        <w:rPr>
          <w:i/>
        </w:rPr>
        <w:t>B</w:t>
      </w:r>
      <w:r>
        <w:t>). These two gels were prepared in two different halves of the same gel cassette separated by a spacer to ensure identical running conditions. Lane 1 and 5, VCLD; Lane 2 and 6, VCIII; Lane 3 and 7, VCIIIs; Lane 4 and 8, VCIIIG146C.</w:t>
      </w:r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57"/>
    <w:rsid w:val="0027073C"/>
    <w:rsid w:val="00594E3F"/>
    <w:rsid w:val="007C1757"/>
    <w:rsid w:val="008420E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2521</Characters>
  <Application>Microsoft Macintosh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2011-12-27T18:39:00Z</dcterms:created>
  <dcterms:modified xsi:type="dcterms:W3CDTF">2011-12-27T18:40:00Z</dcterms:modified>
</cp:coreProperties>
</file>